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741A" w14:textId="548DCB7A" w:rsidR="00C41401" w:rsidRPr="008D51DD" w:rsidRDefault="006807A5" w:rsidP="005A77D1">
      <w:pPr>
        <w:jc w:val="center"/>
        <w:rPr>
          <w:smallCaps/>
          <w:sz w:val="32"/>
          <w:szCs w:val="32"/>
        </w:rPr>
      </w:pPr>
      <w:r>
        <w:rPr>
          <w:smallCaps/>
          <w:sz w:val="32"/>
          <w:szCs w:val="32"/>
        </w:rPr>
        <w:t xml:space="preserve">Trustees' Mistakes: </w:t>
      </w:r>
      <w:r w:rsidR="005A77D1">
        <w:rPr>
          <w:smallCaps/>
          <w:sz w:val="32"/>
          <w:szCs w:val="32"/>
        </w:rPr>
        <w:t>England and Elsewhere</w:t>
      </w:r>
    </w:p>
    <w:p w14:paraId="71C7C5EC" w14:textId="110197A4" w:rsidR="00C41401" w:rsidRPr="00C41401" w:rsidRDefault="00C41401" w:rsidP="00C41401">
      <w:pPr>
        <w:jc w:val="center"/>
        <w:rPr>
          <w:smallCaps/>
        </w:rPr>
      </w:pPr>
      <w:r w:rsidRPr="00C41401">
        <w:rPr>
          <w:smallCaps/>
        </w:rPr>
        <w:t>by</w:t>
      </w:r>
    </w:p>
    <w:p w14:paraId="05232C06" w14:textId="34ECAE0E" w:rsidR="00C41401" w:rsidRDefault="00C41401" w:rsidP="00C41401">
      <w:pPr>
        <w:jc w:val="center"/>
        <w:rPr>
          <w:smallCaps/>
          <w:rtl/>
        </w:rPr>
      </w:pPr>
      <w:r>
        <w:rPr>
          <w:smallCaps/>
        </w:rPr>
        <w:t xml:space="preserve">Adam S. </w:t>
      </w:r>
      <w:proofErr w:type="spellStart"/>
      <w:r>
        <w:rPr>
          <w:smallCaps/>
        </w:rPr>
        <w:t>Hofri-Winogradow</w:t>
      </w:r>
      <w:proofErr w:type="spellEnd"/>
      <w:r>
        <w:rPr>
          <w:smallCaps/>
        </w:rPr>
        <w:t>* &amp; Gad Weiss**</w:t>
      </w:r>
    </w:p>
    <w:p w14:paraId="28B7D554" w14:textId="37C4AC71" w:rsidR="00C41401" w:rsidRDefault="007A0156" w:rsidP="00C80B61">
      <w:pPr>
        <w:tabs>
          <w:tab w:val="left" w:pos="8054"/>
        </w:tabs>
        <w:jc w:val="left"/>
        <w:rPr>
          <w:smallCaps/>
        </w:rPr>
      </w:pPr>
      <w:r>
        <w:rPr>
          <w:smallCaps/>
        </w:rPr>
        <w:tab/>
      </w:r>
    </w:p>
    <w:p w14:paraId="32B59DE1" w14:textId="201699A1" w:rsidR="00C80B61" w:rsidRPr="005646A2" w:rsidRDefault="00C80B61" w:rsidP="00B0137F">
      <w:pPr>
        <w:tabs>
          <w:tab w:val="left" w:pos="8054"/>
        </w:tabs>
      </w:pPr>
      <w:r>
        <w:t xml:space="preserve">The complexity and instability characteristic of modern trust law, trust practice, and especially trusts taxation, exacerbate the natural human tendency towards error. When </w:t>
      </w:r>
      <w:r w:rsidR="005646A2">
        <w:t>a</w:t>
      </w:r>
      <w:r>
        <w:t xml:space="preserve"> settlement of property on trust, </w:t>
      </w:r>
      <w:r w:rsidR="005646A2">
        <w:t>a distribution or appointment of trust property to beneficiaries, or an administrative transaction by trustees, are found to have unwelcome consequences, benef</w:t>
      </w:r>
      <w:r w:rsidR="00B0137F">
        <w:t>iciaries and</w:t>
      </w:r>
      <w:r w:rsidR="005646A2">
        <w:t xml:space="preserve"> trustees try to have the offending settlement, appointment or transaction reversed. A key doctrinal tool courts use to reverse </w:t>
      </w:r>
      <w:r w:rsidR="00B0137F">
        <w:t>unfortunate</w:t>
      </w:r>
      <w:r w:rsidR="005646A2">
        <w:t xml:space="preserve"> trustee choices is the doctrine of mistake. In </w:t>
      </w:r>
      <w:proofErr w:type="spellStart"/>
      <w:r w:rsidR="005646A2">
        <w:t>time-honoured</w:t>
      </w:r>
      <w:proofErr w:type="spellEnd"/>
      <w:r w:rsidR="005646A2">
        <w:t xml:space="preserve"> common law fashion, the application of this doctrine to trustee actions has developed in three parallel doctrinal channels: mistake at law, mistake in equity and the so-called "Rule in </w:t>
      </w:r>
      <w:r w:rsidR="005646A2">
        <w:rPr>
          <w:i/>
          <w:iCs/>
        </w:rPr>
        <w:t>Re Hastings-Bass</w:t>
      </w:r>
      <w:r w:rsidR="005646A2">
        <w:t xml:space="preserve">". Following two decades of growth, the last-mentioned "Rule" was recently restrained in the U.K. Supreme Court decision in </w:t>
      </w:r>
      <w:r w:rsidR="005646A2">
        <w:rPr>
          <w:i/>
          <w:iCs/>
        </w:rPr>
        <w:t>Pitt v. Holt</w:t>
      </w:r>
      <w:r w:rsidR="005646A2">
        <w:t xml:space="preserve">. The restraint imposed in England on the </w:t>
      </w:r>
      <w:r w:rsidR="005646A2">
        <w:rPr>
          <w:i/>
          <w:iCs/>
        </w:rPr>
        <w:t>Hastings-Bass</w:t>
      </w:r>
      <w:r w:rsidR="005646A2">
        <w:t xml:space="preserve"> line of cases has already resulted in a resurgence of English cases applying the doctrine of equitable mistake, while outside England, offshore jurisdictions are strain</w:t>
      </w:r>
      <w:r w:rsidR="00B0137F">
        <w:t>ing to attract and retain trusts by adopting broad statutory versions of the Rule.</w:t>
      </w:r>
    </w:p>
    <w:p w14:paraId="5FD56DF9" w14:textId="77777777" w:rsidR="00C80B61" w:rsidRPr="00C80B61" w:rsidRDefault="00C80B61" w:rsidP="00C80B61">
      <w:pPr>
        <w:tabs>
          <w:tab w:val="left" w:pos="8054"/>
        </w:tabs>
        <w:jc w:val="left"/>
        <w:rPr>
          <w:smallCaps/>
          <w:rtl/>
        </w:rPr>
      </w:pPr>
    </w:p>
    <w:p w14:paraId="2330A5EB" w14:textId="445CB2FB" w:rsidR="00C57CDC" w:rsidRPr="00267210" w:rsidRDefault="00145267" w:rsidP="005A77D1">
      <w:pPr>
        <w:pStyle w:val="ListParagraph"/>
        <w:numPr>
          <w:ilvl w:val="0"/>
          <w:numId w:val="4"/>
        </w:numPr>
        <w:spacing w:after="120"/>
        <w:rPr>
          <w:smallCaps/>
        </w:rPr>
      </w:pPr>
      <w:r>
        <w:rPr>
          <w:smallCaps/>
        </w:rPr>
        <w:t>English</w:t>
      </w:r>
      <w:r w:rsidR="00297D5B" w:rsidRPr="00267210">
        <w:rPr>
          <w:smallCaps/>
        </w:rPr>
        <w:t xml:space="preserve"> Law Applicable to Trustees’</w:t>
      </w:r>
      <w:r w:rsidR="000313DF">
        <w:rPr>
          <w:smallCaps/>
        </w:rPr>
        <w:t xml:space="preserve"> </w:t>
      </w:r>
      <w:r w:rsidR="005A77D1">
        <w:rPr>
          <w:smallCaps/>
        </w:rPr>
        <w:t>Mistakes</w:t>
      </w:r>
      <w:r w:rsidR="008D51DD" w:rsidRPr="00267210">
        <w:rPr>
          <w:smallCaps/>
        </w:rPr>
        <w:t xml:space="preserve"> </w:t>
      </w:r>
    </w:p>
    <w:p w14:paraId="34E439EB" w14:textId="08FC9F73" w:rsidR="00297D5B" w:rsidRPr="00C97335" w:rsidRDefault="00C80B61" w:rsidP="00C80B61">
      <w:pPr>
        <w:pStyle w:val="ListParagraph"/>
        <w:numPr>
          <w:ilvl w:val="0"/>
          <w:numId w:val="1"/>
        </w:numPr>
      </w:pPr>
      <w:r>
        <w:t>Setting Mistakes Aside: Law and Equity</w:t>
      </w:r>
    </w:p>
    <w:p w14:paraId="6C8DD45F" w14:textId="2531626E" w:rsidR="004A6549" w:rsidRDefault="00093997" w:rsidP="00477D46">
      <w:pPr>
        <w:ind w:firstLine="360"/>
      </w:pPr>
      <w:r>
        <w:t xml:space="preserve">As </w:t>
      </w:r>
      <w:r w:rsidR="00DD011A">
        <w:t xml:space="preserve">holders of rights to </w:t>
      </w:r>
      <w:r w:rsidR="000313DF">
        <w:t>property</w:t>
      </w:r>
      <w:r w:rsidR="00E54390">
        <w:t>,</w:t>
      </w:r>
      <w:r w:rsidR="001D3E5E">
        <w:t xml:space="preserve"> </w:t>
      </w:r>
      <w:r w:rsidR="00DD011A">
        <w:t>on which</w:t>
      </w:r>
      <w:r w:rsidR="001D3E5E">
        <w:t xml:space="preserve"> trust</w:t>
      </w:r>
      <w:r w:rsidR="007076D2">
        <w:t>s governed by English Law</w:t>
      </w:r>
      <w:r w:rsidR="00DD011A">
        <w:t xml:space="preserve"> have been imposed, </w:t>
      </w:r>
      <w:r w:rsidR="007076D2">
        <w:t>t</w:t>
      </w:r>
      <w:r>
        <w:t>rustee</w:t>
      </w:r>
      <w:r w:rsidR="00DD011A">
        <w:t>s</w:t>
      </w:r>
      <w:r>
        <w:t xml:space="preserve"> </w:t>
      </w:r>
      <w:r w:rsidR="005A77D1">
        <w:t>have as complete an authority to</w:t>
      </w:r>
      <w:r w:rsidR="008439EE">
        <w:t xml:space="preserve"> </w:t>
      </w:r>
      <w:r w:rsidR="00DD011A">
        <w:t>transact</w:t>
      </w:r>
      <w:r w:rsidR="008439EE">
        <w:t xml:space="preserve"> </w:t>
      </w:r>
      <w:r w:rsidR="00DD011A">
        <w:t>in</w:t>
      </w:r>
      <w:r w:rsidR="008D5E97">
        <w:t xml:space="preserve"> </w:t>
      </w:r>
      <w:r w:rsidR="005A77D1">
        <w:t>the</w:t>
      </w:r>
      <w:r w:rsidR="008439EE">
        <w:t xml:space="preserve"> pr</w:t>
      </w:r>
      <w:r w:rsidR="00DD011A">
        <w:t>operty</w:t>
      </w:r>
      <w:r w:rsidR="005A77D1">
        <w:t xml:space="preserve"> they hold</w:t>
      </w:r>
      <w:r w:rsidR="008439EE">
        <w:t xml:space="preserve"> as any other </w:t>
      </w:r>
      <w:r w:rsidR="00DD011A">
        <w:t>property owner</w:t>
      </w:r>
      <w:r w:rsidR="007076D2">
        <w:t xml:space="preserve">. Unless </w:t>
      </w:r>
      <w:r w:rsidR="00DD011A">
        <w:t xml:space="preserve">provided </w:t>
      </w:r>
      <w:r w:rsidR="007076D2">
        <w:t>otherwise</w:t>
      </w:r>
      <w:r w:rsidR="00CC4FB6">
        <w:t xml:space="preserve"> </w:t>
      </w:r>
      <w:r w:rsidR="00DD011A">
        <w:t>in the t</w:t>
      </w:r>
      <w:r w:rsidR="00EB5EE6">
        <w:t xml:space="preserve">rust </w:t>
      </w:r>
      <w:r w:rsidR="00DD011A">
        <w:t>instrument,</w:t>
      </w:r>
      <w:r w:rsidR="007076D2">
        <w:t xml:space="preserve"> trustee</w:t>
      </w:r>
      <w:r w:rsidR="00DD011A">
        <w:t>s</w:t>
      </w:r>
      <w:r w:rsidR="007076D2">
        <w:t xml:space="preserve"> may sell trust property, lease it, encumber it, create an easement</w:t>
      </w:r>
      <w:r w:rsidR="00DD011A">
        <w:t xml:space="preserve"> over it</w:t>
      </w:r>
      <w:r w:rsidR="007076D2">
        <w:t xml:space="preserve"> </w:t>
      </w:r>
      <w:r w:rsidR="005A77D1">
        <w:t xml:space="preserve">and </w:t>
      </w:r>
      <w:r w:rsidR="00E54390">
        <w:t>take any other action respecting it</w:t>
      </w:r>
      <w:r w:rsidR="007076D2">
        <w:t>.</w:t>
      </w:r>
      <w:r w:rsidR="00DD011A">
        <w:rPr>
          <w:rStyle w:val="FootnoteReference"/>
        </w:rPr>
        <w:footnoteReference w:id="1"/>
      </w:r>
      <w:r w:rsidR="007076D2">
        <w:t xml:space="preserve"> A</w:t>
      </w:r>
      <w:r w:rsidR="0064434E">
        <w:t>n attempt to set aside a</w:t>
      </w:r>
      <w:r w:rsidR="00C12E54">
        <w:t xml:space="preserve"> mistaken </w:t>
      </w:r>
      <w:r w:rsidR="004A16CE">
        <w:t>exercise of such administrative powers</w:t>
      </w:r>
      <w:r w:rsidR="007076D2">
        <w:t xml:space="preserve"> </w:t>
      </w:r>
      <w:r w:rsidR="00C12E54">
        <w:t>is subject to the general</w:t>
      </w:r>
      <w:r w:rsidR="005A77D1">
        <w:t xml:space="preserve"> c</w:t>
      </w:r>
      <w:r w:rsidR="003D66FC">
        <w:t xml:space="preserve">ommon </w:t>
      </w:r>
      <w:r w:rsidR="005A77D1">
        <w:t>l</w:t>
      </w:r>
      <w:r w:rsidR="003D66FC">
        <w:t xml:space="preserve">aw of </w:t>
      </w:r>
      <w:r w:rsidR="00E54390">
        <w:t>mistake.</w:t>
      </w:r>
      <w:r w:rsidR="004A16CE">
        <w:t xml:space="preserve"> </w:t>
      </w:r>
      <w:r w:rsidR="00E54390">
        <w:t>C</w:t>
      </w:r>
      <w:r w:rsidR="004A16CE">
        <w:t>ontracts created through</w:t>
      </w:r>
      <w:r w:rsidR="00E54390">
        <w:t xml:space="preserve"> the</w:t>
      </w:r>
      <w:r w:rsidR="003D66FC">
        <w:t xml:space="preserve"> exercise of such powers may be set aside </w:t>
      </w:r>
      <w:r w:rsidR="005A77D1">
        <w:t>based on</w:t>
      </w:r>
      <w:r w:rsidR="003D66FC">
        <w:t xml:space="preserve"> </w:t>
      </w:r>
      <w:r w:rsidR="006444D7">
        <w:t xml:space="preserve">the </w:t>
      </w:r>
      <w:r w:rsidR="003D66FC">
        <w:t xml:space="preserve">conventional </w:t>
      </w:r>
      <w:r w:rsidR="00234F8D">
        <w:t>grounds</w:t>
      </w:r>
      <w:r w:rsidR="00111A99">
        <w:t xml:space="preserve"> </w:t>
      </w:r>
      <w:r w:rsidR="004A16CE">
        <w:t xml:space="preserve">for setting aside </w:t>
      </w:r>
      <w:r w:rsidR="004E4B4E">
        <w:t>contracts</w:t>
      </w:r>
      <w:r w:rsidR="004A16CE">
        <w:t xml:space="preserve"> </w:t>
      </w:r>
      <w:r w:rsidR="00234F8D">
        <w:t>–</w:t>
      </w:r>
      <w:r w:rsidR="003D66FC">
        <w:t xml:space="preserve"> commo</w:t>
      </w:r>
      <w:r w:rsidR="00234F8D">
        <w:t xml:space="preserve">n, mutual or </w:t>
      </w:r>
      <w:r w:rsidR="00234F8D">
        <w:lastRenderedPageBreak/>
        <w:t>unilateral mistake</w:t>
      </w:r>
      <w:r w:rsidR="0051694A">
        <w:t xml:space="preserve">, </w:t>
      </w:r>
      <w:proofErr w:type="spellStart"/>
      <w:r w:rsidR="0051694A">
        <w:rPr>
          <w:i/>
          <w:iCs/>
        </w:rPr>
        <w:t xml:space="preserve">non </w:t>
      </w:r>
      <w:proofErr w:type="gramStart"/>
      <w:r w:rsidR="0051694A">
        <w:rPr>
          <w:i/>
          <w:iCs/>
        </w:rPr>
        <w:t>est</w:t>
      </w:r>
      <w:proofErr w:type="spellEnd"/>
      <w:proofErr w:type="gramEnd"/>
      <w:r w:rsidR="0051694A">
        <w:rPr>
          <w:i/>
          <w:iCs/>
        </w:rPr>
        <w:t xml:space="preserve"> factum</w:t>
      </w:r>
      <w:r w:rsidR="00751CCC">
        <w:t xml:space="preserve"> etc.</w:t>
      </w:r>
      <w:r w:rsidR="004A16CE">
        <w:t>;</w:t>
      </w:r>
      <w:r w:rsidR="00111A99">
        <w:t xml:space="preserve"> </w:t>
      </w:r>
      <w:r w:rsidR="00234F8D">
        <w:t xml:space="preserve">the fact that </w:t>
      </w:r>
      <w:r w:rsidR="001E58D9">
        <w:t>a</w:t>
      </w:r>
      <w:r w:rsidR="00234F8D">
        <w:t xml:space="preserve"> mistaken party </w:t>
      </w:r>
      <w:r w:rsidR="001E58D9">
        <w:t>happens to be</w:t>
      </w:r>
      <w:r w:rsidR="00234F8D">
        <w:t xml:space="preserve"> a trustee </w:t>
      </w:r>
      <w:r w:rsidR="004A16CE">
        <w:t>is</w:t>
      </w:r>
      <w:r w:rsidR="00E54390">
        <w:t>, so far as the common law is concerned,</w:t>
      </w:r>
      <w:r w:rsidR="00234F8D">
        <w:t xml:space="preserve"> legally meaningless.</w:t>
      </w:r>
      <w:r w:rsidR="004A16CE">
        <w:rPr>
          <w:rStyle w:val="FootnoteReference"/>
        </w:rPr>
        <w:footnoteReference w:id="2"/>
      </w:r>
    </w:p>
    <w:p w14:paraId="2083F558" w14:textId="7299E502" w:rsidR="00234F8D" w:rsidRPr="004B4D4F" w:rsidRDefault="00B4532B" w:rsidP="00477D46">
      <w:pPr>
        <w:autoSpaceDE w:val="0"/>
        <w:autoSpaceDN w:val="0"/>
        <w:adjustRightInd w:val="0"/>
        <w:ind w:firstLine="360"/>
        <w:rPr>
          <w:rFonts w:cs="Times New Roman"/>
        </w:rPr>
      </w:pPr>
      <w:r>
        <w:t>M</w:t>
      </w:r>
      <w:r w:rsidR="004A6549">
        <w:t>istaken exercise</w:t>
      </w:r>
      <w:r>
        <w:t>s</w:t>
      </w:r>
      <w:r w:rsidR="004A6549">
        <w:t xml:space="preserve"> of trustees</w:t>
      </w:r>
      <w:r w:rsidR="004A16CE">
        <w:t>'</w:t>
      </w:r>
      <w:r w:rsidR="004A6549">
        <w:t xml:space="preserve"> dispositive powers</w:t>
      </w:r>
      <w:r w:rsidR="0064434E">
        <w:t xml:space="preserve"> – </w:t>
      </w:r>
      <w:r w:rsidR="0064434E">
        <w:rPr>
          <w:i/>
          <w:iCs/>
        </w:rPr>
        <w:t>inter alia</w:t>
      </w:r>
      <w:r w:rsidR="0064434E">
        <w:t>, the</w:t>
      </w:r>
      <w:r>
        <w:t>ir</w:t>
      </w:r>
      <w:r w:rsidR="0064434E">
        <w:t xml:space="preserve"> powers o</w:t>
      </w:r>
      <w:r>
        <w:t>f appointment and advancement –</w:t>
      </w:r>
      <w:r w:rsidR="002B32E9">
        <w:t xml:space="preserve"> </w:t>
      </w:r>
      <w:r>
        <w:t>are</w:t>
      </w:r>
      <w:r w:rsidR="004A6549">
        <w:t xml:space="preserve"> subject to th</w:t>
      </w:r>
      <w:r>
        <w:t>e doctrine of equitable mistake. E</w:t>
      </w:r>
      <w:r w:rsidR="0064434E">
        <w:t>quitable mistake is not a doctrine</w:t>
      </w:r>
      <w:r w:rsidR="0078490A">
        <w:t xml:space="preserve"> unique to the law of trusts</w:t>
      </w:r>
      <w:r>
        <w:t>; it applies to the</w:t>
      </w:r>
      <w:r w:rsidR="0064434E">
        <w:t xml:space="preserve"> voluntary disposition of assets</w:t>
      </w:r>
      <w:r>
        <w:t xml:space="preserve"> generally, a</w:t>
      </w:r>
      <w:r w:rsidR="0064434E">
        <w:t>s</w:t>
      </w:r>
      <w:r>
        <w:t xml:space="preserve"> by way of</w:t>
      </w:r>
      <w:r w:rsidR="0064434E">
        <w:t xml:space="preserve"> gift. </w:t>
      </w:r>
      <w:r w:rsidR="00CA4D27">
        <w:t>Though</w:t>
      </w:r>
      <w:r w:rsidR="00CA4D27">
        <w:rPr>
          <w:rFonts w:hint="cs"/>
          <w:rtl/>
        </w:rPr>
        <w:t xml:space="preserve"> </w:t>
      </w:r>
      <w:r w:rsidR="00DC76DD">
        <w:t>the nature and boundaries of this</w:t>
      </w:r>
      <w:r w:rsidR="00CA4D27">
        <w:t xml:space="preserve"> doctrine</w:t>
      </w:r>
      <w:r w:rsidR="00DC76DD">
        <w:t xml:space="preserve"> have been disputed</w:t>
      </w:r>
      <w:r w:rsidR="00CA4D27">
        <w:t xml:space="preserve"> </w:t>
      </w:r>
      <w:r w:rsidR="00DC76DD">
        <w:t>during</w:t>
      </w:r>
      <w:r w:rsidR="00CA4D27">
        <w:t xml:space="preserve"> the last </w:t>
      </w:r>
      <w:r w:rsidR="00DC76DD">
        <w:t xml:space="preserve">few </w:t>
      </w:r>
      <w:r w:rsidR="00CA4D27">
        <w:t xml:space="preserve">decades, the axiom remains that </w:t>
      </w:r>
      <w:r w:rsidR="00130380">
        <w:t xml:space="preserve">the tests for applying the doctrine of equitable mistake are </w:t>
      </w:r>
      <w:r w:rsidR="00DC76DD">
        <w:t>not as</w:t>
      </w:r>
      <w:r w:rsidR="00130380">
        <w:t xml:space="preserve"> strict </w:t>
      </w:r>
      <w:r w:rsidR="00DC76DD">
        <w:t>as those governing</w:t>
      </w:r>
      <w:r w:rsidR="00130380">
        <w:t xml:space="preserve"> </w:t>
      </w:r>
      <w:r w:rsidR="00E54390">
        <w:t>c</w:t>
      </w:r>
      <w:r w:rsidR="00130380">
        <w:t xml:space="preserve">ommon </w:t>
      </w:r>
      <w:r w:rsidR="00E54390">
        <w:t>l</w:t>
      </w:r>
      <w:r w:rsidR="00130380">
        <w:t>aw mistake.</w:t>
      </w:r>
      <w:r w:rsidR="00130380">
        <w:rPr>
          <w:rStyle w:val="FootnoteReference"/>
        </w:rPr>
        <w:footnoteReference w:id="3"/>
      </w:r>
      <w:r w:rsidR="00A72F12">
        <w:t xml:space="preserve"> The </w:t>
      </w:r>
      <w:r w:rsidR="00DC76DD">
        <w:t xml:space="preserve">tests </w:t>
      </w:r>
      <w:r w:rsidR="00A72F12">
        <w:t>generally accepted</w:t>
      </w:r>
      <w:r w:rsidR="00DC76DD">
        <w:t xml:space="preserve"> in England</w:t>
      </w:r>
      <w:r w:rsidR="00A72F12">
        <w:t xml:space="preserve"> fo</w:t>
      </w:r>
      <w:r w:rsidR="00DC76DD">
        <w:t>r setting aside an exercise of trustees'</w:t>
      </w:r>
      <w:r w:rsidR="00A72F12">
        <w:t xml:space="preserve"> dispositive power</w:t>
      </w:r>
      <w:r w:rsidR="00DC76DD">
        <w:t>s</w:t>
      </w:r>
      <w:r w:rsidR="00A72F12">
        <w:t xml:space="preserve"> on the ground of mistake were, until recently, </w:t>
      </w:r>
      <w:r w:rsidR="00C621BA">
        <w:t>the</w:t>
      </w:r>
      <w:r w:rsidR="00570B25">
        <w:t xml:space="preserve"> following two: the</w:t>
      </w:r>
      <w:r w:rsidR="00C621BA">
        <w:t xml:space="preserve"> </w:t>
      </w:r>
      <w:r w:rsidR="00DC76DD">
        <w:t>older,</w:t>
      </w:r>
      <w:r w:rsidR="00C621BA">
        <w:t xml:space="preserve"> relatively permissive </w:t>
      </w:r>
      <w:r w:rsidR="00DC76DD">
        <w:t>test</w:t>
      </w:r>
      <w:r w:rsidR="00DC76DD">
        <w:rPr>
          <w:i/>
          <w:iCs/>
        </w:rPr>
        <w:t xml:space="preserve"> </w:t>
      </w:r>
      <w:r w:rsidR="00DC76DD" w:rsidRPr="00DC76DD">
        <w:t>in</w:t>
      </w:r>
      <w:r w:rsidR="00DC76DD">
        <w:rPr>
          <w:i/>
          <w:iCs/>
        </w:rPr>
        <w:t xml:space="preserve"> </w:t>
      </w:r>
      <w:r w:rsidR="00C621BA">
        <w:rPr>
          <w:i/>
          <w:iCs/>
        </w:rPr>
        <w:t xml:space="preserve">Ogilvie v. </w:t>
      </w:r>
      <w:proofErr w:type="spellStart"/>
      <w:r w:rsidR="00C621BA">
        <w:rPr>
          <w:i/>
          <w:iCs/>
        </w:rPr>
        <w:t>Littleboy</w:t>
      </w:r>
      <w:proofErr w:type="spellEnd"/>
      <w:r w:rsidR="00570B25">
        <w:t>,</w:t>
      </w:r>
      <w:r w:rsidR="00C621BA">
        <w:t xml:space="preserve"> </w:t>
      </w:r>
      <w:r w:rsidR="00570B25">
        <w:t>according to</w:t>
      </w:r>
      <w:r w:rsidR="00C621BA">
        <w:t xml:space="preserve"> which </w:t>
      </w:r>
      <w:r w:rsidR="00570B25">
        <w:t xml:space="preserve">“a donor can only obtain back property […] by showing that he was under some mistake of so serious a character as to render it unjust on the part of the </w:t>
      </w:r>
      <w:proofErr w:type="spellStart"/>
      <w:r w:rsidR="00570B25">
        <w:t>donee</w:t>
      </w:r>
      <w:proofErr w:type="spellEnd"/>
      <w:r w:rsidR="00570B25">
        <w:t xml:space="preserve"> to retain the property”</w:t>
      </w:r>
      <w:r w:rsidR="00DC76DD">
        <w:t>,</w:t>
      </w:r>
      <w:r w:rsidR="00570B25" w:rsidRPr="00570B25">
        <w:rPr>
          <w:rStyle w:val="FootnoteReference"/>
        </w:rPr>
        <w:footnoteReference w:id="4"/>
      </w:r>
      <w:r w:rsidR="00EB1A76">
        <w:t xml:space="preserve"> and the more </w:t>
      </w:r>
      <w:r w:rsidR="00DC76DD">
        <w:t>stringent test in</w:t>
      </w:r>
      <w:r w:rsidR="00803EB6">
        <w:t xml:space="preserve"> </w:t>
      </w:r>
      <w:r w:rsidR="00803EB6">
        <w:rPr>
          <w:i/>
          <w:iCs/>
        </w:rPr>
        <w:t>Gibbon v. Mitchell</w:t>
      </w:r>
      <w:r w:rsidR="00DC76DD">
        <w:t>, under</w:t>
      </w:r>
      <w:r w:rsidR="00803EB6">
        <w:t xml:space="preserve"> which a voluntary disposition could be set aside </w:t>
      </w:r>
      <w:r w:rsidR="00DC76DD">
        <w:t>for</w:t>
      </w:r>
      <w:r w:rsidR="00803EB6">
        <w:t xml:space="preserve"> mistake </w:t>
      </w:r>
      <w:r w:rsidR="00DC76DD">
        <w:t xml:space="preserve">where the </w:t>
      </w:r>
      <w:proofErr w:type="spellStart"/>
      <w:r w:rsidR="00DC76DD">
        <w:t>disponor</w:t>
      </w:r>
      <w:proofErr w:type="spellEnd"/>
      <w:r w:rsidR="00DC76DD">
        <w:t xml:space="preserve"> was mistaken regarding “the effect of the transaction</w:t>
      </w:r>
      <w:r w:rsidR="001F2B66">
        <w:t xml:space="preserve"> itself and not merely as to its consequences”</w:t>
      </w:r>
      <w:r w:rsidR="00EB1A76">
        <w:t>.</w:t>
      </w:r>
      <w:r w:rsidR="001F2B66">
        <w:rPr>
          <w:rStyle w:val="FootnoteReference"/>
        </w:rPr>
        <w:footnoteReference w:id="5"/>
      </w:r>
      <w:r w:rsidR="009403B4">
        <w:t xml:space="preserve"> The present law </w:t>
      </w:r>
      <w:r w:rsidR="00DC76DD">
        <w:t>of</w:t>
      </w:r>
      <w:r w:rsidR="009403B4">
        <w:t xml:space="preserve"> equitable mistake, </w:t>
      </w:r>
      <w:r w:rsidR="00DC76DD">
        <w:t>as laid down in</w:t>
      </w:r>
      <w:r w:rsidR="009403B4">
        <w:t xml:space="preserve"> 2013 </w:t>
      </w:r>
      <w:r w:rsidR="00DC76DD">
        <w:t xml:space="preserve">in the </w:t>
      </w:r>
      <w:r w:rsidR="009403B4">
        <w:t xml:space="preserve">U.K. Supreme Court decision in </w:t>
      </w:r>
      <w:r w:rsidR="009403B4">
        <w:rPr>
          <w:i/>
          <w:iCs/>
        </w:rPr>
        <w:t>Pitt v. Holt</w:t>
      </w:r>
      <w:r w:rsidR="009403B4">
        <w:t>,</w:t>
      </w:r>
      <w:r w:rsidR="007637B3">
        <w:t xml:space="preserve"> requires</w:t>
      </w:r>
      <w:r w:rsidR="00DC76DD">
        <w:t xml:space="preserve">, less clearly, that in order for a disposition to be reversed due to mistake on the part of the </w:t>
      </w:r>
      <w:proofErr w:type="spellStart"/>
      <w:r w:rsidR="00DC76DD">
        <w:t>disponor</w:t>
      </w:r>
      <w:proofErr w:type="spellEnd"/>
      <w:r w:rsidR="00DC76DD">
        <w:t>, there needs</w:t>
      </w:r>
      <w:r w:rsidR="007637B3">
        <w:t xml:space="preserve"> exis</w:t>
      </w:r>
      <w:r w:rsidR="00DC76DD">
        <w:t>t</w:t>
      </w:r>
      <w:r w:rsidR="007637B3">
        <w:t xml:space="preserve"> “a causati</w:t>
      </w:r>
      <w:r w:rsidR="00261657">
        <w:t>ve mistake of sufficient gravity”</w:t>
      </w:r>
      <w:r w:rsidR="004B4D4F">
        <w:t xml:space="preserve"> </w:t>
      </w:r>
      <w:r w:rsidR="004B4D4F">
        <w:rPr>
          <w:rFonts w:cs="Times New Roman"/>
        </w:rPr>
        <w:t xml:space="preserve">to make it unconscionable on the part of the </w:t>
      </w:r>
      <w:proofErr w:type="spellStart"/>
      <w:r w:rsidR="004B4D4F">
        <w:rPr>
          <w:rFonts w:cs="Times New Roman"/>
        </w:rPr>
        <w:t>donee</w:t>
      </w:r>
      <w:proofErr w:type="spellEnd"/>
      <w:r w:rsidR="004B4D4F">
        <w:rPr>
          <w:rFonts w:cs="Times New Roman"/>
        </w:rPr>
        <w:t xml:space="preserve"> to retain the property</w:t>
      </w:r>
      <w:r w:rsidR="00261657">
        <w:t xml:space="preserve">, </w:t>
      </w:r>
      <w:r w:rsidR="00DC76DD">
        <w:t>which will usual</w:t>
      </w:r>
      <w:r w:rsidR="00356E14">
        <w:t>ly</w:t>
      </w:r>
      <w:r w:rsidR="00DC76DD">
        <w:t xml:space="preserve"> consist of</w:t>
      </w:r>
      <w:r w:rsidR="00261657">
        <w:t xml:space="preserve"> “</w:t>
      </w:r>
      <w:r w:rsidR="00356E14">
        <w:t xml:space="preserve">a mistake either as to the </w:t>
      </w:r>
      <w:r w:rsidR="00356E14">
        <w:lastRenderedPageBreak/>
        <w:t>legal character or nature of a transaction, or as to some matter of fact or law which is basic to the transaction”.</w:t>
      </w:r>
      <w:bookmarkStart w:id="0" w:name="_Ref432439918"/>
      <w:r w:rsidR="00356E14">
        <w:rPr>
          <w:rStyle w:val="FootnoteReference"/>
        </w:rPr>
        <w:footnoteReference w:id="6"/>
      </w:r>
      <w:bookmarkEnd w:id="0"/>
      <w:r w:rsidR="00356E14">
        <w:t xml:space="preserve"> </w:t>
      </w:r>
    </w:p>
    <w:p w14:paraId="4CE47CFE" w14:textId="77777777" w:rsidR="00C97335" w:rsidRPr="00C97335" w:rsidRDefault="00C97335" w:rsidP="00234F8D"/>
    <w:p w14:paraId="4CCE73FE" w14:textId="0EE71FCA" w:rsidR="00297D5B" w:rsidRPr="00B82F07" w:rsidRDefault="00297D5B" w:rsidP="005A77D1">
      <w:pPr>
        <w:pStyle w:val="ListParagraph"/>
        <w:numPr>
          <w:ilvl w:val="0"/>
          <w:numId w:val="1"/>
        </w:numPr>
      </w:pPr>
      <w:r>
        <w:t>The</w:t>
      </w:r>
      <w:r w:rsidR="001F2B66">
        <w:t xml:space="preserve"> “</w:t>
      </w:r>
      <w:r>
        <w:t xml:space="preserve">Rule in </w:t>
      </w:r>
      <w:r w:rsidR="00267210">
        <w:rPr>
          <w:i/>
          <w:iCs/>
        </w:rPr>
        <w:t>Re Hastings-</w:t>
      </w:r>
      <w:r>
        <w:rPr>
          <w:i/>
          <w:iCs/>
        </w:rPr>
        <w:t>Bass</w:t>
      </w:r>
      <w:r w:rsidR="001F2B66" w:rsidRPr="001F2B66">
        <w:t>”</w:t>
      </w:r>
      <w:r w:rsidR="003F7CB2">
        <w:t xml:space="preserve"> after </w:t>
      </w:r>
      <w:r w:rsidR="003F7CB2">
        <w:rPr>
          <w:i/>
          <w:iCs/>
        </w:rPr>
        <w:t>Pitt v. Holt</w:t>
      </w:r>
    </w:p>
    <w:p w14:paraId="731727F9" w14:textId="42DD7B43" w:rsidR="00B769BB" w:rsidRDefault="00B82F07" w:rsidP="00477D46">
      <w:pPr>
        <w:ind w:firstLine="360"/>
      </w:pPr>
      <w:r>
        <w:t xml:space="preserve">The Rule in </w:t>
      </w:r>
      <w:r>
        <w:rPr>
          <w:i/>
          <w:iCs/>
        </w:rPr>
        <w:t>Re Hastings-Bass</w:t>
      </w:r>
      <w:bookmarkStart w:id="1" w:name="_Ref431118072"/>
      <w:r w:rsidR="00542D33" w:rsidRPr="00542D33">
        <w:rPr>
          <w:rStyle w:val="FootnoteReference"/>
        </w:rPr>
        <w:footnoteReference w:id="7"/>
      </w:r>
      <w:bookmarkEnd w:id="1"/>
      <w:r>
        <w:t xml:space="preserve"> </w:t>
      </w:r>
      <w:r w:rsidR="003F0778">
        <w:t xml:space="preserve">(hereinafter: the Rule) </w:t>
      </w:r>
      <w:r>
        <w:t>was a</w:t>
      </w:r>
      <w:r w:rsidR="007424C7">
        <w:t>n equitable</w:t>
      </w:r>
      <w:r>
        <w:t xml:space="preserve"> doctrine</w:t>
      </w:r>
      <w:r w:rsidR="007A0156">
        <w:t xml:space="preserve"> </w:t>
      </w:r>
      <w:r w:rsidR="00477D46">
        <w:t>developed through</w:t>
      </w:r>
      <w:r>
        <w:t xml:space="preserve"> the </w:t>
      </w:r>
      <w:r w:rsidR="00542D33">
        <w:t xml:space="preserve">1990’s and the first </w:t>
      </w:r>
      <w:r w:rsidR="004E4B4E">
        <w:t>decade</w:t>
      </w:r>
      <w:r w:rsidR="00542D33">
        <w:t xml:space="preserve"> of the 21st century</w:t>
      </w:r>
      <w:r w:rsidR="00AD2673">
        <w:t>,</w:t>
      </w:r>
      <w:r w:rsidR="00542D33">
        <w:t xml:space="preserve"> </w:t>
      </w:r>
      <w:r w:rsidR="004E4B4E">
        <w:t>until</w:t>
      </w:r>
      <w:r w:rsidR="00542D33">
        <w:t xml:space="preserve"> its official demise in English Law </w:t>
      </w:r>
      <w:r w:rsidR="00261657">
        <w:t>in the</w:t>
      </w:r>
      <w:r w:rsidR="00542D33">
        <w:t xml:space="preserve"> Supreme Court </w:t>
      </w:r>
      <w:r w:rsidR="00261657">
        <w:t>decision</w:t>
      </w:r>
      <w:r w:rsidR="00542D33">
        <w:t xml:space="preserve"> in </w:t>
      </w:r>
      <w:r w:rsidR="00542D33">
        <w:rPr>
          <w:i/>
          <w:iCs/>
        </w:rPr>
        <w:t>Pitt v. Holt.</w:t>
      </w:r>
      <w:bookmarkStart w:id="2" w:name="_Ref432265159"/>
      <w:r w:rsidR="00542D33" w:rsidRPr="00542D33">
        <w:rPr>
          <w:rStyle w:val="FootnoteReference"/>
        </w:rPr>
        <w:footnoteReference w:id="8"/>
      </w:r>
      <w:bookmarkEnd w:id="2"/>
      <w:r w:rsidR="00542D33">
        <w:t xml:space="preserve"> According to the</w:t>
      </w:r>
      <w:r w:rsidR="00615CD1">
        <w:t xml:space="preserve"> most recent formulation </w:t>
      </w:r>
      <w:r w:rsidR="00A87DD0">
        <w:t>of</w:t>
      </w:r>
      <w:r w:rsidR="00615CD1">
        <w:t xml:space="preserve"> the</w:t>
      </w:r>
      <w:r w:rsidR="00542D33">
        <w:t xml:space="preserve"> Rule</w:t>
      </w:r>
      <w:r w:rsidR="00615CD1">
        <w:t xml:space="preserve"> prior to its </w:t>
      </w:r>
      <w:r w:rsidR="00CB2026">
        <w:t>demise</w:t>
      </w:r>
      <w:r w:rsidR="00615CD1">
        <w:t xml:space="preserve">, </w:t>
      </w:r>
      <w:r w:rsidR="00EF4D07">
        <w:t>a fiduciary</w:t>
      </w:r>
      <w:r w:rsidR="00E8457E">
        <w:rPr>
          <w:rStyle w:val="FootnoteReference"/>
        </w:rPr>
        <w:footnoteReference w:id="9"/>
      </w:r>
      <w:r w:rsidR="00542D33">
        <w:t xml:space="preserve"> </w:t>
      </w:r>
      <w:r w:rsidR="00615CD1">
        <w:t>could</w:t>
      </w:r>
      <w:r w:rsidR="00542D33">
        <w:t xml:space="preserve"> </w:t>
      </w:r>
      <w:r w:rsidR="00C10F79">
        <w:t>apply to</w:t>
      </w:r>
      <w:r w:rsidR="00615CD1">
        <w:t xml:space="preserve"> the court and ask </w:t>
      </w:r>
      <w:r w:rsidR="003F0778">
        <w:t>for an order declaring</w:t>
      </w:r>
      <w:r w:rsidR="00615CD1">
        <w:t xml:space="preserve"> </w:t>
      </w:r>
      <w:r w:rsidR="003F0778">
        <w:t>its</w:t>
      </w:r>
      <w:r w:rsidR="00615CD1">
        <w:t xml:space="preserve"> exercise of a discretionary</w:t>
      </w:r>
      <w:r w:rsidR="00450CA5">
        <w:t xml:space="preserve"> dispositive</w:t>
      </w:r>
      <w:r w:rsidR="00615CD1">
        <w:t xml:space="preserve"> power</w:t>
      </w:r>
      <w:r w:rsidR="003472E5">
        <w:t xml:space="preserve"> void </w:t>
      </w:r>
      <w:r w:rsidR="003472E5">
        <w:rPr>
          <w:i/>
          <w:iCs/>
        </w:rPr>
        <w:t>ab initio</w:t>
      </w:r>
      <w:r w:rsidR="00615CD1">
        <w:t xml:space="preserve"> if it </w:t>
      </w:r>
      <w:r w:rsidR="00A87DD0">
        <w:t>was</w:t>
      </w:r>
      <w:r w:rsidR="00EF4D07">
        <w:t xml:space="preserve"> clear that he</w:t>
      </w:r>
      <w:r w:rsidR="003F0778">
        <w:t>, she or it</w:t>
      </w:r>
      <w:r w:rsidR="00EF4D07">
        <w:t xml:space="preserve"> would not have acted as </w:t>
      </w:r>
      <w:r w:rsidR="003F0778">
        <w:t>they</w:t>
      </w:r>
      <w:r w:rsidR="00EF4D07">
        <w:t xml:space="preserve"> did had </w:t>
      </w:r>
      <w:r w:rsidR="003F0778">
        <w:t>t</w:t>
      </w:r>
      <w:r w:rsidR="00EF4D07">
        <w:t>he</w:t>
      </w:r>
      <w:r w:rsidR="003F0778">
        <w:t>y</w:t>
      </w:r>
      <w:r w:rsidR="00615CD1">
        <w:t xml:space="preserve"> not failed to take into account considerations which </w:t>
      </w:r>
      <w:r w:rsidR="00A87DD0">
        <w:t>they</w:t>
      </w:r>
      <w:r w:rsidR="00615CD1">
        <w:t xml:space="preserve"> ought to have taken into account, or taken int</w:t>
      </w:r>
      <w:r w:rsidR="00EF4D07">
        <w:t xml:space="preserve">o account considerations which </w:t>
      </w:r>
      <w:r w:rsidR="003F0778">
        <w:t>t</w:t>
      </w:r>
      <w:r w:rsidR="00EF4D07">
        <w:t>he</w:t>
      </w:r>
      <w:r w:rsidR="003F0778">
        <w:t>y</w:t>
      </w:r>
      <w:r w:rsidR="00615CD1">
        <w:t xml:space="preserve"> should not have.</w:t>
      </w:r>
      <w:bookmarkStart w:id="3" w:name="_Ref431126839"/>
      <w:r w:rsidR="00615CD1">
        <w:rPr>
          <w:rStyle w:val="FootnoteReference"/>
        </w:rPr>
        <w:footnoteReference w:id="10"/>
      </w:r>
      <w:bookmarkEnd w:id="3"/>
      <w:r w:rsidR="00615CD1">
        <w:t xml:space="preserve"> </w:t>
      </w:r>
      <w:r w:rsidR="003F0778">
        <w:t>T</w:t>
      </w:r>
      <w:r w:rsidR="003D7A46">
        <w:t>he ground</w:t>
      </w:r>
      <w:r w:rsidR="003F0778">
        <w:t>s</w:t>
      </w:r>
      <w:r w:rsidR="00E23AD8">
        <w:t xml:space="preserve"> f</w:t>
      </w:r>
      <w:r w:rsidR="003F0778">
        <w:t>or setting aside</w:t>
      </w:r>
      <w:r w:rsidR="00E23AD8">
        <w:t xml:space="preserve"> </w:t>
      </w:r>
      <w:r w:rsidR="003F0778">
        <w:t>fiduciary</w:t>
      </w:r>
      <w:r w:rsidR="00E23AD8">
        <w:t xml:space="preserve"> </w:t>
      </w:r>
      <w:r w:rsidR="003F0778">
        <w:t>dispositions</w:t>
      </w:r>
      <w:r w:rsidR="003D7A46">
        <w:t xml:space="preserve"> </w:t>
      </w:r>
      <w:r w:rsidR="003F0778">
        <w:t>under</w:t>
      </w:r>
      <w:r w:rsidR="003D7A46">
        <w:t xml:space="preserve"> the Rule</w:t>
      </w:r>
      <w:r w:rsidR="00E23AD8">
        <w:t xml:space="preserve"> </w:t>
      </w:r>
      <w:r w:rsidR="003F0778">
        <w:t>were</w:t>
      </w:r>
      <w:r w:rsidR="008D39D1">
        <w:t xml:space="preserve"> </w:t>
      </w:r>
      <w:r w:rsidR="003F0778">
        <w:t>much broader</w:t>
      </w:r>
      <w:r w:rsidR="00E23AD8">
        <w:t xml:space="preserve"> </w:t>
      </w:r>
      <w:r w:rsidR="003F0778">
        <w:t>than</w:t>
      </w:r>
      <w:r w:rsidR="00E23AD8">
        <w:t xml:space="preserve"> the </w:t>
      </w:r>
      <w:r w:rsidR="004D5409">
        <w:t xml:space="preserve">relatively narrow </w:t>
      </w:r>
      <w:r w:rsidR="003F0778">
        <w:t>grounds available under the d</w:t>
      </w:r>
      <w:r w:rsidR="007A0156">
        <w:t xml:space="preserve">octrine of </w:t>
      </w:r>
      <w:r w:rsidR="003F0778">
        <w:t>either common law or equitable mistake:</w:t>
      </w:r>
      <w:r w:rsidR="003D7A46">
        <w:t xml:space="preserve"> the Rule </w:t>
      </w:r>
      <w:r w:rsidR="003F0778">
        <w:t>was founded on the</w:t>
      </w:r>
      <w:r w:rsidR="003D7A46">
        <w:t xml:space="preserve"> </w:t>
      </w:r>
      <w:r w:rsidR="00477D46">
        <w:t>sense</w:t>
      </w:r>
      <w:r w:rsidR="003D7A46">
        <w:t xml:space="preserve"> that </w:t>
      </w:r>
      <w:r w:rsidR="00EF4D07">
        <w:t>fiduciaries</w:t>
      </w:r>
      <w:r w:rsidR="00C10F79">
        <w:t xml:space="preserve"> who</w:t>
      </w:r>
      <w:r w:rsidR="003D7A46">
        <w:t xml:space="preserve"> </w:t>
      </w:r>
      <w:r w:rsidR="00C10F79">
        <w:t>f</w:t>
      </w:r>
      <w:r w:rsidR="007A0156">
        <w:t>ail to apply reasonable skill and care in their</w:t>
      </w:r>
      <w:r w:rsidR="003D7A46">
        <w:t xml:space="preserve"> decision making</w:t>
      </w:r>
      <w:r w:rsidR="007A0156">
        <w:t xml:space="preserve"> process</w:t>
      </w:r>
      <w:r w:rsidR="003D7A46">
        <w:t xml:space="preserve"> d</w:t>
      </w:r>
      <w:r w:rsidR="00C10F79">
        <w:t>o</w:t>
      </w:r>
      <w:r w:rsidR="003D7A46">
        <w:t xml:space="preserve"> not act in their </w:t>
      </w:r>
      <w:r w:rsidR="003F0778">
        <w:t>beneficiaries'</w:t>
      </w:r>
      <w:r w:rsidR="003D7A46">
        <w:t xml:space="preserve"> best interest</w:t>
      </w:r>
      <w:r w:rsidR="008B35C2">
        <w:t>s. The Rule applied</w:t>
      </w:r>
      <w:r w:rsidR="003D7A46">
        <w:t xml:space="preserve"> </w:t>
      </w:r>
      <w:r w:rsidR="008B35C2">
        <w:t>whether the flaw in fiduciaries'</w:t>
      </w:r>
      <w:r w:rsidR="00192609">
        <w:t xml:space="preserve"> decision making process </w:t>
      </w:r>
      <w:r w:rsidR="008B35C2">
        <w:t>would make the impugned disposition void under the common law</w:t>
      </w:r>
      <w:r w:rsidR="00192609">
        <w:t xml:space="preserve"> of mistake</w:t>
      </w:r>
      <w:r w:rsidR="008B35C2">
        <w:t xml:space="preserve">, voidable under </w:t>
      </w:r>
      <w:r w:rsidR="00C10F79">
        <w:t>the doctrine</w:t>
      </w:r>
      <w:r w:rsidR="008B35C2">
        <w:t xml:space="preserve"> of equitable mistake, or neither</w:t>
      </w:r>
      <w:r w:rsidR="003D7A46">
        <w:t>.</w:t>
      </w:r>
      <w:bookmarkStart w:id="4" w:name="_Ref432264267"/>
      <w:r w:rsidR="003D7A46">
        <w:rPr>
          <w:rStyle w:val="FootnoteReference"/>
        </w:rPr>
        <w:footnoteReference w:id="11"/>
      </w:r>
      <w:bookmarkEnd w:id="4"/>
      <w:r w:rsidR="0025040D">
        <w:t xml:space="preserve"> </w:t>
      </w:r>
      <w:r w:rsidR="00C10F79">
        <w:t>A</w:t>
      </w:r>
      <w:r w:rsidR="0025040D">
        <w:t xml:space="preserve"> suc</w:t>
      </w:r>
      <w:r w:rsidR="00D634C0">
        <w:t>cessful application of the R</w:t>
      </w:r>
      <w:r w:rsidR="0025040D">
        <w:t xml:space="preserve">ule </w:t>
      </w:r>
      <w:r w:rsidR="00D634C0">
        <w:t>was never made conditional on</w:t>
      </w:r>
      <w:r w:rsidR="0025040D">
        <w:t xml:space="preserve"> the existence of any “mistake” in </w:t>
      </w:r>
      <w:r w:rsidR="00D634C0">
        <w:t>the colloquial sense: the fiduciary</w:t>
      </w:r>
      <w:r w:rsidR="0025040D">
        <w:t xml:space="preserve"> is not </w:t>
      </w:r>
      <w:r w:rsidR="00D634C0">
        <w:t>required to hold</w:t>
      </w:r>
      <w:r w:rsidR="0025040D">
        <w:t xml:space="preserve"> </w:t>
      </w:r>
      <w:r w:rsidR="00D634C0">
        <w:t xml:space="preserve">a </w:t>
      </w:r>
      <w:r w:rsidR="0025040D">
        <w:rPr>
          <w:i/>
          <w:iCs/>
        </w:rPr>
        <w:lastRenderedPageBreak/>
        <w:t>mistaken</w:t>
      </w:r>
      <w:r w:rsidR="0025040D">
        <w:t xml:space="preserve"> </w:t>
      </w:r>
      <w:r w:rsidR="00D634C0">
        <w:t xml:space="preserve">belief </w:t>
      </w:r>
      <w:r w:rsidR="0025040D">
        <w:t>about a</w:t>
      </w:r>
      <w:r w:rsidR="00D634C0">
        <w:t>nything. A fiduciary's</w:t>
      </w:r>
      <w:r w:rsidR="0025040D">
        <w:t xml:space="preserve"> exercise of a </w:t>
      </w:r>
      <w:r w:rsidR="00D634C0">
        <w:t xml:space="preserve">dispositive </w:t>
      </w:r>
      <w:r w:rsidR="0025040D">
        <w:t xml:space="preserve">power may be set aside for the very fact that a certain relevant consideration has never </w:t>
      </w:r>
      <w:r w:rsidR="0091165D">
        <w:t>crossed his</w:t>
      </w:r>
      <w:r w:rsidR="00D634C0">
        <w:t>, her or its</w:t>
      </w:r>
      <w:r w:rsidR="0091165D">
        <w:t xml:space="preserve"> mind. </w:t>
      </w:r>
      <w:r w:rsidR="00B35BF7">
        <w:t xml:space="preserve">One of the most </w:t>
      </w:r>
      <w:r w:rsidR="00D634C0">
        <w:t>well-known</w:t>
      </w:r>
      <w:r w:rsidR="00B35BF7">
        <w:t xml:space="preserve"> (and controversial</w:t>
      </w:r>
      <w:r w:rsidR="00166E9A">
        <w:rPr>
          <w:rStyle w:val="FootnoteReference"/>
        </w:rPr>
        <w:footnoteReference w:id="12"/>
      </w:r>
      <w:r w:rsidR="00D634C0">
        <w:t>)</w:t>
      </w:r>
      <w:r w:rsidR="00B35BF7">
        <w:t xml:space="preserve"> </w:t>
      </w:r>
      <w:r w:rsidR="00D634C0">
        <w:t>contexts in which</w:t>
      </w:r>
      <w:r w:rsidR="00B35BF7">
        <w:t xml:space="preserve"> the Rule was</w:t>
      </w:r>
      <w:r w:rsidR="00D634C0">
        <w:t xml:space="preserve"> successfully used was</w:t>
      </w:r>
      <w:r w:rsidR="00B35BF7">
        <w:t xml:space="preserve"> setting aside trustees’ exercise</w:t>
      </w:r>
      <w:r w:rsidR="007424C7">
        <w:t>s</w:t>
      </w:r>
      <w:r w:rsidR="00B35BF7">
        <w:t xml:space="preserve"> of dispositive powers</w:t>
      </w:r>
      <w:r w:rsidR="00D634C0">
        <w:t xml:space="preserve"> from</w:t>
      </w:r>
      <w:r w:rsidR="007424C7">
        <w:t xml:space="preserve"> which</w:t>
      </w:r>
      <w:r w:rsidR="00B35BF7">
        <w:t xml:space="preserve"> </w:t>
      </w:r>
      <w:r w:rsidR="00D634C0">
        <w:t>resulted</w:t>
      </w:r>
      <w:r w:rsidR="003F6A79">
        <w:t xml:space="preserve"> </w:t>
      </w:r>
      <w:r w:rsidR="007011A8">
        <w:t>tax liabilities</w:t>
      </w:r>
      <w:r w:rsidR="00C57CDC">
        <w:t xml:space="preserve"> the trustees failed to </w:t>
      </w:r>
      <w:r w:rsidR="004E4B4E">
        <w:t>foresee</w:t>
      </w:r>
      <w:r w:rsidR="003F6A79">
        <w:t xml:space="preserve"> or accurately assess</w:t>
      </w:r>
      <w:r w:rsidR="00B35BF7">
        <w:t>.</w:t>
      </w:r>
      <w:bookmarkStart w:id="5" w:name="_Ref431129276"/>
      <w:r w:rsidR="00B35BF7">
        <w:rPr>
          <w:rStyle w:val="FootnoteReference"/>
        </w:rPr>
        <w:footnoteReference w:id="13"/>
      </w:r>
      <w:bookmarkEnd w:id="5"/>
      <w:r w:rsidR="00CC4FB6">
        <w:t xml:space="preserve"> </w:t>
      </w:r>
      <w:r w:rsidR="00D634C0">
        <w:t>O</w:t>
      </w:r>
      <w:r w:rsidR="00166E9A">
        <w:t xml:space="preserve">ther successful </w:t>
      </w:r>
      <w:r w:rsidR="00D634C0">
        <w:t>invocations</w:t>
      </w:r>
      <w:r w:rsidR="00166E9A">
        <w:t xml:space="preserve"> of the Rule </w:t>
      </w:r>
      <w:r w:rsidR="003F6A79">
        <w:t>allow</w:t>
      </w:r>
      <w:r w:rsidR="00D634C0">
        <w:t>ed</w:t>
      </w:r>
      <w:r w:rsidR="00166E9A">
        <w:t xml:space="preserve"> trustees to </w:t>
      </w:r>
      <w:r w:rsidR="00D634C0">
        <w:t xml:space="preserve">retrospectively </w:t>
      </w:r>
      <w:r w:rsidR="00166E9A">
        <w:t xml:space="preserve">render </w:t>
      </w:r>
      <w:r w:rsidR="00D634C0">
        <w:t xml:space="preserve">void </w:t>
      </w:r>
      <w:r w:rsidR="005A22EA">
        <w:t>badly</w:t>
      </w:r>
      <w:r w:rsidR="00166E9A">
        <w:t xml:space="preserve"> drafted pension</w:t>
      </w:r>
      <w:r w:rsidR="003F6A79">
        <w:t xml:space="preserve"> scheme</w:t>
      </w:r>
      <w:r w:rsidR="00021F79">
        <w:t xml:space="preserve"> clauses</w:t>
      </w:r>
      <w:r w:rsidR="003D7A46">
        <w:t xml:space="preserve">, </w:t>
      </w:r>
      <w:r w:rsidR="00F343C4">
        <w:t>which</w:t>
      </w:r>
      <w:r w:rsidR="003D7A46">
        <w:t xml:space="preserve"> came out</w:t>
      </w:r>
      <w:r w:rsidR="003F6A79">
        <w:t xml:space="preserve"> </w:t>
      </w:r>
      <w:r w:rsidR="008D5D40">
        <w:t xml:space="preserve">far more generous than </w:t>
      </w:r>
      <w:r w:rsidR="00D634C0">
        <w:t xml:space="preserve">the </w:t>
      </w:r>
      <w:r w:rsidR="008D5D40">
        <w:t>employer</w:t>
      </w:r>
      <w:r w:rsidR="00D634C0">
        <w:t>s intended</w:t>
      </w:r>
      <w:r w:rsidR="003F6A79">
        <w:t>;</w:t>
      </w:r>
      <w:r w:rsidR="003F6A79">
        <w:rPr>
          <w:rStyle w:val="FootnoteReference"/>
        </w:rPr>
        <w:footnoteReference w:id="14"/>
      </w:r>
      <w:r w:rsidR="00166E9A">
        <w:t xml:space="preserve"> </w:t>
      </w:r>
      <w:r w:rsidR="00723D54">
        <w:t>ga</w:t>
      </w:r>
      <w:r w:rsidR="00D634C0">
        <w:t>ve</w:t>
      </w:r>
      <w:r w:rsidR="00723D54">
        <w:t xml:space="preserve"> trustees a second chance to </w:t>
      </w:r>
      <w:r w:rsidR="00D634C0">
        <w:t xml:space="preserve">accurately </w:t>
      </w:r>
      <w:r w:rsidR="00C10F79">
        <w:t>perform</w:t>
      </w:r>
      <w:r w:rsidR="00723D54">
        <w:t xml:space="preserve"> transactions which should have been</w:t>
      </w:r>
      <w:r w:rsidR="00D634C0">
        <w:t>, but were not,</w:t>
      </w:r>
      <w:r w:rsidR="00723D54">
        <w:t xml:space="preserve"> carried out </w:t>
      </w:r>
      <w:r w:rsidR="00D634C0">
        <w:t>at a</w:t>
      </w:r>
      <w:r w:rsidR="00723D54">
        <w:t xml:space="preserve"> specifi</w:t>
      </w:r>
      <w:r w:rsidR="00D634C0">
        <w:t>c</w:t>
      </w:r>
      <w:r w:rsidR="00723D54">
        <w:t xml:space="preserve"> </w:t>
      </w:r>
      <w:r w:rsidR="00B769BB">
        <w:t>date</w:t>
      </w:r>
      <w:r w:rsidR="00D634C0" w:rsidRPr="00D634C0">
        <w:t xml:space="preserve"> </w:t>
      </w:r>
      <w:r w:rsidR="00D634C0">
        <w:t>and time</w:t>
      </w:r>
      <w:r w:rsidR="00723D54">
        <w:t>;</w:t>
      </w:r>
      <w:r w:rsidR="00723D54">
        <w:rPr>
          <w:rStyle w:val="FootnoteReference"/>
        </w:rPr>
        <w:footnoteReference w:id="15"/>
      </w:r>
      <w:r w:rsidR="00723D54">
        <w:t xml:space="preserve"> </w:t>
      </w:r>
      <w:r w:rsidR="00D634C0">
        <w:t xml:space="preserve">and </w:t>
      </w:r>
      <w:r w:rsidR="007A0156">
        <w:t>allow</w:t>
      </w:r>
      <w:r w:rsidR="00D634C0">
        <w:t>ed</w:t>
      </w:r>
      <w:r w:rsidR="007A0156">
        <w:t xml:space="preserve"> trustees to </w:t>
      </w:r>
      <w:r w:rsidR="00D634C0">
        <w:t>rectify, years after the creation of a trust,</w:t>
      </w:r>
      <w:r w:rsidR="00CD7BDC">
        <w:t xml:space="preserve"> clerical or</w:t>
      </w:r>
      <w:r w:rsidR="00681EB5">
        <w:t xml:space="preserve"> </w:t>
      </w:r>
      <w:r w:rsidR="005A22EA">
        <w:t>accounting error</w:t>
      </w:r>
      <w:r w:rsidR="00CD7BDC">
        <w:t>s</w:t>
      </w:r>
      <w:r w:rsidR="005A22EA">
        <w:t xml:space="preserve"> </w:t>
      </w:r>
      <w:r w:rsidR="00D634C0">
        <w:t>made when it was first drafted</w:t>
      </w:r>
      <w:bookmarkStart w:id="6" w:name="_Ref431221151"/>
      <w:r w:rsidR="00D634C0">
        <w:t>.</w:t>
      </w:r>
      <w:r w:rsidR="005A22EA">
        <w:rPr>
          <w:rStyle w:val="FootnoteReference"/>
        </w:rPr>
        <w:footnoteReference w:id="16"/>
      </w:r>
      <w:bookmarkEnd w:id="6"/>
      <w:r w:rsidR="005A22EA">
        <w:t xml:space="preserve"> The Rule’s distinctive </w:t>
      </w:r>
      <w:r w:rsidR="0035175A">
        <w:t>capacity for</w:t>
      </w:r>
      <w:r w:rsidR="005A22EA">
        <w:t xml:space="preserve"> turn</w:t>
      </w:r>
      <w:r w:rsidR="0035175A">
        <w:t>ing</w:t>
      </w:r>
      <w:r w:rsidR="005A22EA">
        <w:t xml:space="preserve"> back the clock </w:t>
      </w:r>
      <w:r w:rsidR="003D7A46">
        <w:t>o</w:t>
      </w:r>
      <w:r w:rsidR="0035175A">
        <w:t>n</w:t>
      </w:r>
      <w:r w:rsidR="003D7A46">
        <w:t xml:space="preserve"> trustees’ careless </w:t>
      </w:r>
      <w:r w:rsidR="00DE2508">
        <w:t>or</w:t>
      </w:r>
      <w:r w:rsidR="006C1ED4">
        <w:t xml:space="preserve"> </w:t>
      </w:r>
      <w:r w:rsidR="005F5A15">
        <w:t>hasty</w:t>
      </w:r>
      <w:r w:rsidR="006C1ED4">
        <w:t xml:space="preserve"> </w:t>
      </w:r>
      <w:r w:rsidR="005F5A15">
        <w:t>decision making</w:t>
      </w:r>
      <w:r w:rsidR="003D7A46">
        <w:t xml:space="preserve"> </w:t>
      </w:r>
      <w:r w:rsidR="00DE2508">
        <w:t>was expressed</w:t>
      </w:r>
      <w:r w:rsidR="005A7CEE">
        <w:t xml:space="preserve"> </w:t>
      </w:r>
      <w:r w:rsidR="00DE2508">
        <w:t>in nicknames</w:t>
      </w:r>
      <w:r w:rsidR="00D16A43">
        <w:t xml:space="preserve"> such as</w:t>
      </w:r>
      <w:r w:rsidR="00477D46">
        <w:t xml:space="preserve"> “Get o</w:t>
      </w:r>
      <w:r w:rsidR="005A22EA">
        <w:t xml:space="preserve">ut </w:t>
      </w:r>
      <w:r w:rsidR="00D16A43">
        <w:t xml:space="preserve">of Jail Free card” </w:t>
      </w:r>
      <w:r w:rsidR="00D21CB6">
        <w:t>and</w:t>
      </w:r>
      <w:r w:rsidR="00D16A43">
        <w:t xml:space="preserve"> “Morning </w:t>
      </w:r>
      <w:proofErr w:type="gramStart"/>
      <w:r w:rsidR="00D16A43">
        <w:t>After</w:t>
      </w:r>
      <w:proofErr w:type="gramEnd"/>
      <w:r w:rsidR="00D16A43">
        <w:t xml:space="preserve"> P</w:t>
      </w:r>
      <w:r w:rsidR="005A22EA">
        <w:t>ill”.</w:t>
      </w:r>
      <w:r w:rsidR="005A22EA">
        <w:rPr>
          <w:rStyle w:val="FootnoteReference"/>
        </w:rPr>
        <w:footnoteReference w:id="17"/>
      </w:r>
    </w:p>
    <w:p w14:paraId="7CBB9F85" w14:textId="0B3AAC8F" w:rsidR="00356E14" w:rsidRPr="000D6842" w:rsidRDefault="00797829" w:rsidP="00106056">
      <w:pPr>
        <w:ind w:firstLine="360"/>
      </w:pPr>
      <w:r>
        <w:t xml:space="preserve">Both the common law doctrine of mistake and its equitable cousin are as available, each within its sphere of application, for </w:t>
      </w:r>
      <w:r w:rsidR="00650ABB">
        <w:t>set</w:t>
      </w:r>
      <w:r>
        <w:t>ting</w:t>
      </w:r>
      <w:r w:rsidR="00650ABB">
        <w:t xml:space="preserve"> aside</w:t>
      </w:r>
      <w:r w:rsidR="000D6842">
        <w:t xml:space="preserve"> trustee</w:t>
      </w:r>
      <w:r>
        <w:t>s'</w:t>
      </w:r>
      <w:r w:rsidR="000D6842">
        <w:t xml:space="preserve"> </w:t>
      </w:r>
      <w:r w:rsidR="00650ABB">
        <w:t xml:space="preserve">dispositions </w:t>
      </w:r>
      <w:r w:rsidR="000D6842">
        <w:t xml:space="preserve">for mistake </w:t>
      </w:r>
      <w:r>
        <w:t xml:space="preserve">as for setting aside dispositions undertaken </w:t>
      </w:r>
      <w:r w:rsidR="008B2B06">
        <w:t>with non-fiduciary, beneficially owned property</w:t>
      </w:r>
      <w:r>
        <w:t>.</w:t>
      </w:r>
      <w:r w:rsidR="000D6842">
        <w:t xml:space="preserve"> </w:t>
      </w:r>
      <w:r>
        <w:t>T</w:t>
      </w:r>
      <w:r w:rsidR="000D6842">
        <w:t xml:space="preserve">he </w:t>
      </w:r>
      <w:r>
        <w:t xml:space="preserve">remarkable ability of applicants under the </w:t>
      </w:r>
      <w:r w:rsidR="000D6842">
        <w:t xml:space="preserve">Rule in </w:t>
      </w:r>
      <w:r w:rsidR="000D6842">
        <w:rPr>
          <w:i/>
          <w:iCs/>
        </w:rPr>
        <w:t>Re Hastings-Bass</w:t>
      </w:r>
      <w:r w:rsidR="000D6842">
        <w:t xml:space="preserve"> </w:t>
      </w:r>
      <w:r>
        <w:t>to apply</w:t>
      </w:r>
      <w:r w:rsidR="000D6842">
        <w:t xml:space="preserve"> for the setting aside of a transaction merely </w:t>
      </w:r>
      <w:r>
        <w:t xml:space="preserve">because it followed a </w:t>
      </w:r>
      <w:r w:rsidR="000D6842">
        <w:t xml:space="preserve">flawed </w:t>
      </w:r>
      <w:r>
        <w:t>decision making process</w:t>
      </w:r>
      <w:r w:rsidR="000D6842">
        <w:t xml:space="preserve"> </w:t>
      </w:r>
      <w:r w:rsidR="008B2B06">
        <w:t xml:space="preserve">is </w:t>
      </w:r>
      <w:r w:rsidR="000D6842">
        <w:t xml:space="preserve">not, </w:t>
      </w:r>
      <w:r w:rsidR="008B2B06">
        <w:t>on the other hand, available to non-fiduciaries.</w:t>
      </w:r>
      <w:r w:rsidR="008E6427">
        <w:t xml:space="preserve"> </w:t>
      </w:r>
      <w:r w:rsidR="008B2B06">
        <w:t>A</w:t>
      </w:r>
      <w:r w:rsidR="008E6427">
        <w:t>nd although n</w:t>
      </w:r>
      <w:r w:rsidR="008B666D">
        <w:t>ever</w:t>
      </w:r>
      <w:r w:rsidR="008E6427">
        <w:t xml:space="preserve"> expressly limited to trustees, the fact is that </w:t>
      </w:r>
      <w:r w:rsidR="00D07194">
        <w:t>successful applications for orders under the R</w:t>
      </w:r>
      <w:r w:rsidR="00106056">
        <w:t>ule</w:t>
      </w:r>
      <w:r w:rsidR="008E6427">
        <w:t xml:space="preserve"> have</w:t>
      </w:r>
      <w:r w:rsidR="00106056">
        <w:t>,</w:t>
      </w:r>
      <w:r w:rsidR="008E6427">
        <w:t xml:space="preserve"> </w:t>
      </w:r>
      <w:r w:rsidR="00106056">
        <w:t xml:space="preserve">under English law, at least, </w:t>
      </w:r>
      <w:r w:rsidR="008E6427">
        <w:t xml:space="preserve">been </w:t>
      </w:r>
      <w:r w:rsidR="00D07194">
        <w:t>concerned with</w:t>
      </w:r>
      <w:r w:rsidR="00E37FCC">
        <w:t xml:space="preserve"> trustees almost </w:t>
      </w:r>
      <w:r w:rsidR="00106056">
        <w:t>without exception</w:t>
      </w:r>
      <w:r w:rsidR="00E37FCC">
        <w:t>.</w:t>
      </w:r>
      <w:r w:rsidR="00E37FCC">
        <w:rPr>
          <w:rStyle w:val="FootnoteReference"/>
        </w:rPr>
        <w:footnoteReference w:id="18"/>
      </w:r>
      <w:r w:rsidR="000D6842">
        <w:t xml:space="preserve">   </w:t>
      </w:r>
    </w:p>
    <w:p w14:paraId="25C65A35" w14:textId="3D99E81D" w:rsidR="00EB7566" w:rsidRDefault="00106056" w:rsidP="00477D46">
      <w:pPr>
        <w:ind w:firstLine="360"/>
      </w:pPr>
      <w:r>
        <w:lastRenderedPageBreak/>
        <w:t>T</w:t>
      </w:r>
      <w:r w:rsidR="00E872F0">
        <w:t>he</w:t>
      </w:r>
      <w:r>
        <w:t xml:space="preserve"> last few years have seen the Rule's</w:t>
      </w:r>
      <w:r w:rsidR="00EF5ED7">
        <w:t xml:space="preserve"> scope</w:t>
      </w:r>
      <w:r w:rsidR="00C10F79">
        <w:t xml:space="preserve"> narrowed by</w:t>
      </w:r>
      <w:r w:rsidR="004728F6">
        <w:t xml:space="preserve"> </w:t>
      </w:r>
      <w:r w:rsidR="00EF5ED7">
        <w:t>decisions</w:t>
      </w:r>
      <w:r w:rsidR="004728F6">
        <w:t xml:space="preserve"> of</w:t>
      </w:r>
      <w:r w:rsidR="00EF5ED7">
        <w:t>, first,</w:t>
      </w:r>
      <w:r w:rsidR="004728F6">
        <w:t xml:space="preserve"> the Court of Appeal</w:t>
      </w:r>
      <w:r w:rsidR="00EF5ED7">
        <w:t>,</w:t>
      </w:r>
      <w:r w:rsidR="004728F6">
        <w:t xml:space="preserve"> and</w:t>
      </w:r>
      <w:r w:rsidR="00EF5ED7">
        <w:t>, later,</w:t>
      </w:r>
      <w:r w:rsidR="004728F6">
        <w:t xml:space="preserve"> the U.K. Supreme Court in the </w:t>
      </w:r>
      <w:r w:rsidR="00EF5ED7">
        <w:t xml:space="preserve">combined </w:t>
      </w:r>
      <w:r w:rsidR="004728F6">
        <w:t>case</w:t>
      </w:r>
      <w:r w:rsidR="00EF5ED7">
        <w:t>s</w:t>
      </w:r>
      <w:r w:rsidR="004728F6">
        <w:t xml:space="preserve"> of </w:t>
      </w:r>
      <w:r w:rsidR="004728F6">
        <w:rPr>
          <w:i/>
          <w:iCs/>
        </w:rPr>
        <w:t>Pitt v. Holt</w:t>
      </w:r>
      <w:r w:rsidR="004728F6">
        <w:t xml:space="preserve"> and </w:t>
      </w:r>
      <w:proofErr w:type="spellStart"/>
      <w:r w:rsidR="004728F6">
        <w:rPr>
          <w:i/>
          <w:iCs/>
        </w:rPr>
        <w:t>Futter</w:t>
      </w:r>
      <w:proofErr w:type="spellEnd"/>
      <w:r w:rsidR="004728F6">
        <w:rPr>
          <w:i/>
          <w:iCs/>
        </w:rPr>
        <w:t xml:space="preserve"> v. </w:t>
      </w:r>
      <w:proofErr w:type="spellStart"/>
      <w:r w:rsidR="004728F6">
        <w:rPr>
          <w:i/>
          <w:iCs/>
        </w:rPr>
        <w:t>Futter</w:t>
      </w:r>
      <w:proofErr w:type="spellEnd"/>
      <w:r w:rsidR="004728F6">
        <w:rPr>
          <w:i/>
          <w:iCs/>
        </w:rPr>
        <w:t>.</w:t>
      </w:r>
      <w:r w:rsidR="002B6A55">
        <w:t xml:space="preserve"> </w:t>
      </w:r>
      <w:r w:rsidR="00EF5ED7">
        <w:t>Under the Rule as reformulated in these decisions, t</w:t>
      </w:r>
      <w:r w:rsidR="002B6A55">
        <w:t xml:space="preserve">o render a trustee’s exercise of </w:t>
      </w:r>
      <w:r w:rsidR="00407563">
        <w:t xml:space="preserve">a </w:t>
      </w:r>
      <w:r w:rsidR="002B6A55">
        <w:t>discretionary power void</w:t>
      </w:r>
      <w:r w:rsidR="00AB5B4C">
        <w:t xml:space="preserve"> </w:t>
      </w:r>
      <w:r w:rsidR="00AB5B4C">
        <w:rPr>
          <w:i/>
          <w:iCs/>
        </w:rPr>
        <w:t>ab initio</w:t>
      </w:r>
      <w:r w:rsidR="00EF5ED7">
        <w:t xml:space="preserve"> due to his, her or its</w:t>
      </w:r>
      <w:r w:rsidR="003C174F">
        <w:t xml:space="preserve"> flawed</w:t>
      </w:r>
      <w:r w:rsidR="002B6A55">
        <w:t xml:space="preserve"> decision making </w:t>
      </w:r>
      <w:r w:rsidR="00EF5ED7">
        <w:t>process</w:t>
      </w:r>
      <w:r w:rsidR="002B6A55">
        <w:t xml:space="preserve">, </w:t>
      </w:r>
      <w:r w:rsidR="00EF5ED7">
        <w:t xml:space="preserve">one must </w:t>
      </w:r>
      <w:r w:rsidR="002B6A55">
        <w:t>show that the trustee</w:t>
      </w:r>
      <w:r w:rsidR="00EF5ED7">
        <w:t>'</w:t>
      </w:r>
      <w:r w:rsidR="002B6A55">
        <w:t xml:space="preserve">s failure to consider relevant considerations or ignore irrelevant considerations </w:t>
      </w:r>
      <w:r w:rsidR="00EF5ED7">
        <w:t>was such</w:t>
      </w:r>
      <w:r w:rsidR="002B6A55">
        <w:t xml:space="preserve"> as</w:t>
      </w:r>
      <w:r w:rsidR="00EF5ED7">
        <w:t xml:space="preserve"> to render the consequent disposition</w:t>
      </w:r>
      <w:r w:rsidR="002B6A55">
        <w:t xml:space="preserve"> an act </w:t>
      </w:r>
      <w:r w:rsidR="002B6A55">
        <w:rPr>
          <w:i/>
          <w:iCs/>
        </w:rPr>
        <w:t>ultra vires</w:t>
      </w:r>
      <w:r w:rsidR="002B6A55">
        <w:t xml:space="preserve">, </w:t>
      </w:r>
      <w:r w:rsidR="00EF5ED7">
        <w:t>outside</w:t>
      </w:r>
      <w:r w:rsidR="006444D7">
        <w:t xml:space="preserve"> the scope of the power</w:t>
      </w:r>
      <w:r w:rsidR="00EF5ED7">
        <w:t xml:space="preserve"> the trustee purported to exercise</w:t>
      </w:r>
      <w:r w:rsidR="006444D7">
        <w:t>.</w:t>
      </w:r>
      <w:bookmarkStart w:id="7" w:name="_Ref431211906"/>
      <w:r w:rsidR="002B6A55">
        <w:rPr>
          <w:rStyle w:val="FootnoteReference"/>
        </w:rPr>
        <w:footnoteReference w:id="19"/>
      </w:r>
      <w:bookmarkEnd w:id="7"/>
      <w:r w:rsidR="006444D7">
        <w:t xml:space="preserve"> Such a </w:t>
      </w:r>
      <w:r w:rsidR="008C36E9">
        <w:t>showing</w:t>
      </w:r>
      <w:r w:rsidR="006444D7">
        <w:t xml:space="preserve"> could be based on procedural defects – for instance, where the trust deed </w:t>
      </w:r>
      <w:r w:rsidR="00C10F79">
        <w:t>requires</w:t>
      </w:r>
      <w:r w:rsidR="006444D7">
        <w:t xml:space="preserve"> that the trustee </w:t>
      </w:r>
      <w:r w:rsidR="00477D46">
        <w:t>obtain</w:t>
      </w:r>
      <w:r w:rsidR="006444D7">
        <w:t xml:space="preserve"> the </w:t>
      </w:r>
      <w:r w:rsidR="00C10F79">
        <w:t>advice</w:t>
      </w:r>
      <w:r w:rsidR="006444D7">
        <w:t xml:space="preserve"> of a</w:t>
      </w:r>
      <w:r w:rsidR="00C10F79">
        <w:t>n</w:t>
      </w:r>
      <w:r w:rsidR="006444D7">
        <w:t xml:space="preserve"> accounting firm before making any fiscally significant decisions, but the trustee had failed to do so. It could also be </w:t>
      </w:r>
      <w:r w:rsidR="006A0F85">
        <w:t>based</w:t>
      </w:r>
      <w:r w:rsidR="006444D7">
        <w:t xml:space="preserve"> </w:t>
      </w:r>
      <w:r w:rsidR="006A0F85">
        <w:t>on</w:t>
      </w:r>
      <w:r w:rsidR="003704A5">
        <w:t xml:space="preserve"> </w:t>
      </w:r>
      <w:r w:rsidR="006A0F85">
        <w:t xml:space="preserve">substantive grounds – e.g., </w:t>
      </w:r>
      <w:r w:rsidR="008C36E9">
        <w:t>where trust principal was dedicated in</w:t>
      </w:r>
      <w:r w:rsidR="00E23AD8">
        <w:t xml:space="preserve"> the </w:t>
      </w:r>
      <w:r w:rsidR="006A0F85">
        <w:t>trust</w:t>
      </w:r>
      <w:r w:rsidR="00E23AD8">
        <w:t xml:space="preserve"> </w:t>
      </w:r>
      <w:r w:rsidR="008C36E9">
        <w:t>instrument</w:t>
      </w:r>
      <w:r w:rsidR="006A0F85">
        <w:t xml:space="preserve"> for the</w:t>
      </w:r>
      <w:r w:rsidR="00E23AD8">
        <w:t xml:space="preserve"> sole purpose</w:t>
      </w:r>
      <w:r w:rsidR="006A0F85">
        <w:t xml:space="preserve"> of </w:t>
      </w:r>
      <w:r w:rsidR="008C36E9">
        <w:t>financing</w:t>
      </w:r>
      <w:r w:rsidR="006A0F85">
        <w:t xml:space="preserve"> a specific </w:t>
      </w:r>
      <w:r w:rsidR="004E4B4E">
        <w:t>beneficiary’s</w:t>
      </w:r>
      <w:r w:rsidR="006A0F85">
        <w:t xml:space="preserve"> undergraduate studies, </w:t>
      </w:r>
      <w:r w:rsidR="008C36E9">
        <w:t>and the trustee has</w:t>
      </w:r>
      <w:r w:rsidR="00E23AD8">
        <w:t xml:space="preserve"> </w:t>
      </w:r>
      <w:r w:rsidR="008C36E9">
        <w:t xml:space="preserve">then proceeded to </w:t>
      </w:r>
      <w:r w:rsidR="00E23AD8">
        <w:t xml:space="preserve">use </w:t>
      </w:r>
      <w:r w:rsidR="00D21CB6">
        <w:t>that principal</w:t>
      </w:r>
      <w:r w:rsidR="00E23AD8">
        <w:t xml:space="preserve"> </w:t>
      </w:r>
      <w:r w:rsidR="003D7A46">
        <w:t xml:space="preserve">to </w:t>
      </w:r>
      <w:r w:rsidR="00AB5B4C">
        <w:t xml:space="preserve">support the </w:t>
      </w:r>
      <w:r w:rsidR="006A3CA6">
        <w:t>young entrepreneur</w:t>
      </w:r>
      <w:r w:rsidR="008C36E9">
        <w:t>'s</w:t>
      </w:r>
      <w:r w:rsidR="00D21CB6">
        <w:t xml:space="preserve"> attempts at</w:t>
      </w:r>
      <w:r w:rsidR="00AB5B4C">
        <w:t xml:space="preserve"> start</w:t>
      </w:r>
      <w:r w:rsidR="00D21CB6">
        <w:t>ing</w:t>
      </w:r>
      <w:r w:rsidR="00AB5B4C">
        <w:t xml:space="preserve"> a business venture. </w:t>
      </w:r>
    </w:p>
    <w:p w14:paraId="0CE3A8D9" w14:textId="1F8F9397" w:rsidR="004728F6" w:rsidRDefault="00192609" w:rsidP="00A3629E">
      <w:pPr>
        <w:ind w:firstLine="360"/>
      </w:pPr>
      <w:r>
        <w:t>A</w:t>
      </w:r>
      <w:r w:rsidR="00956D02">
        <w:t xml:space="preserve"> flawed decision making process </w:t>
      </w:r>
      <w:r w:rsidR="00956D02" w:rsidRPr="000B444F">
        <w:rPr>
          <w:i/>
          <w:iCs/>
        </w:rPr>
        <w:t>within</w:t>
      </w:r>
      <w:r w:rsidR="00956D02">
        <w:t xml:space="preserve"> the</w:t>
      </w:r>
      <w:r w:rsidR="00EB7566">
        <w:t xml:space="preserve"> </w:t>
      </w:r>
      <w:r w:rsidR="000B444F">
        <w:t xml:space="preserve">scope of </w:t>
      </w:r>
      <w:r w:rsidR="00EB7566">
        <w:t>trustees’</w:t>
      </w:r>
      <w:r w:rsidR="00956D02">
        <w:t xml:space="preserve"> power</w:t>
      </w:r>
      <w:r w:rsidR="000B444F">
        <w:t>s may</w:t>
      </w:r>
      <w:r w:rsidR="00956D02">
        <w:t xml:space="preserve">, however, still render trustees’ </w:t>
      </w:r>
      <w:r w:rsidR="000B444F">
        <w:t>consequent dispositions</w:t>
      </w:r>
      <w:r w:rsidR="00956D02">
        <w:t xml:space="preserve"> </w:t>
      </w:r>
      <w:r w:rsidR="00956D02" w:rsidRPr="00956D02">
        <w:rPr>
          <w:i/>
          <w:iCs/>
        </w:rPr>
        <w:t>void</w:t>
      </w:r>
      <w:r w:rsidR="00956D02">
        <w:rPr>
          <w:i/>
          <w:iCs/>
        </w:rPr>
        <w:t>able</w:t>
      </w:r>
      <w:r w:rsidR="00956D02">
        <w:t xml:space="preserve">, should the court be satisfied </w:t>
      </w:r>
      <w:r w:rsidR="00FB1E2E">
        <w:t>that their ill-judged</w:t>
      </w:r>
      <w:r w:rsidR="000B444F">
        <w:t xml:space="preserve"> decision making process amounted</w:t>
      </w:r>
      <w:r w:rsidR="00FB1E2E">
        <w:t xml:space="preserve"> to a breach</w:t>
      </w:r>
      <w:r w:rsidR="00956D02">
        <w:t xml:space="preserve"> </w:t>
      </w:r>
      <w:r w:rsidR="00FB1E2E">
        <w:t>of</w:t>
      </w:r>
      <w:r w:rsidR="00956D02">
        <w:t xml:space="preserve"> </w:t>
      </w:r>
      <w:r w:rsidR="00630808">
        <w:t>one or more of their</w:t>
      </w:r>
      <w:r w:rsidR="00FB1E2E">
        <w:t xml:space="preserve"> dut</w:t>
      </w:r>
      <w:r w:rsidR="00630808">
        <w:t>ies</w:t>
      </w:r>
      <w:r w:rsidR="00FB1E2E">
        <w:t>, such as the</w:t>
      </w:r>
      <w:r w:rsidR="000B444F">
        <w:t>ir</w:t>
      </w:r>
      <w:r w:rsidR="00FB1E2E">
        <w:t xml:space="preserve"> duty to act with such skill and care </w:t>
      </w:r>
      <w:r w:rsidR="000B444F">
        <w:t>as</w:t>
      </w:r>
      <w:r w:rsidR="00603F7E">
        <w:t xml:space="preserve"> are</w:t>
      </w:r>
      <w:r w:rsidR="000B444F">
        <w:t xml:space="preserve"> </w:t>
      </w:r>
      <w:r w:rsidR="00FB1E2E">
        <w:t>reasonable in the circumstances.</w:t>
      </w:r>
      <w:r w:rsidR="00FB1E2E">
        <w:rPr>
          <w:rStyle w:val="FootnoteReference"/>
        </w:rPr>
        <w:footnoteReference w:id="20"/>
      </w:r>
      <w:r w:rsidR="00FB1E2E">
        <w:t xml:space="preserve"> </w:t>
      </w:r>
      <w:r w:rsidR="009B190E">
        <w:t>Neither t</w:t>
      </w:r>
      <w:r w:rsidR="003704A5">
        <w:t>he Court of Appeal nor the U.K. Supreme Court had made it clear what flaws in the trustees’ decision making proc</w:t>
      </w:r>
      <w:r w:rsidR="00CA4D27">
        <w:t xml:space="preserve">ess would amount to such a breach of </w:t>
      </w:r>
      <w:r w:rsidR="00603F7E">
        <w:t>duty.</w:t>
      </w:r>
      <w:r w:rsidR="00914BB5">
        <w:t xml:space="preserve"> </w:t>
      </w:r>
      <w:r w:rsidR="00603F7E">
        <w:t>B</w:t>
      </w:r>
      <w:r w:rsidR="00914BB5">
        <w:t>oth</w:t>
      </w:r>
      <w:r w:rsidR="00603F7E">
        <w:t xml:space="preserve"> Courts</w:t>
      </w:r>
      <w:r w:rsidR="00914BB5">
        <w:t xml:space="preserve"> preferred a case-</w:t>
      </w:r>
      <w:r w:rsidR="00603F7E">
        <w:t>by</w:t>
      </w:r>
      <w:r w:rsidR="00914BB5">
        <w:t>-case approach</w:t>
      </w:r>
      <w:r w:rsidR="00603F7E">
        <w:t>.</w:t>
      </w:r>
      <w:r w:rsidR="003704A5">
        <w:t xml:space="preserve"> </w:t>
      </w:r>
      <w:r w:rsidR="00603F7E">
        <w:t>H</w:t>
      </w:r>
      <w:r w:rsidR="00381049">
        <w:t>owever</w:t>
      </w:r>
      <w:r w:rsidR="00914BB5">
        <w:t xml:space="preserve"> it is apparent from</w:t>
      </w:r>
      <w:r w:rsidR="00603F7E">
        <w:t xml:space="preserve"> the</w:t>
      </w:r>
      <w:r w:rsidR="00623977">
        <w:t xml:space="preserve"> Court of Appeal </w:t>
      </w:r>
      <w:r w:rsidR="00603F7E">
        <w:t>decision</w:t>
      </w:r>
      <w:r w:rsidR="00623977">
        <w:t xml:space="preserve"> that the Court’s vision for the future of the Rule involves narrowing </w:t>
      </w:r>
      <w:r w:rsidR="00603F7E">
        <w:t>its</w:t>
      </w:r>
      <w:r w:rsidR="00623977">
        <w:t xml:space="preserve"> </w:t>
      </w:r>
      <w:r w:rsidR="00603F7E">
        <w:t>ambit</w:t>
      </w:r>
      <w:r w:rsidR="00623977">
        <w:t xml:space="preserve"> of </w:t>
      </w:r>
      <w:r w:rsidR="00603F7E">
        <w:t xml:space="preserve">application, so that fewer types of flawed trustee decision making will be seen as breaching a duty </w:t>
      </w:r>
      <w:r w:rsidR="003B25CC">
        <w:t>so as to render the consequent disposition voidable</w:t>
      </w:r>
      <w:r w:rsidR="00A2589E">
        <w:t>.</w:t>
      </w:r>
      <w:bookmarkStart w:id="8" w:name="_Ref432445845"/>
      <w:r w:rsidR="00623977">
        <w:rPr>
          <w:rStyle w:val="FootnoteReference"/>
        </w:rPr>
        <w:footnoteReference w:id="21"/>
      </w:r>
      <w:bookmarkEnd w:id="8"/>
      <w:r w:rsidR="00623977">
        <w:t xml:space="preserve"> </w:t>
      </w:r>
      <w:r w:rsidR="003B25CC">
        <w:t>T</w:t>
      </w:r>
      <w:r w:rsidR="00C075EF">
        <w:t>he Court of Appeal</w:t>
      </w:r>
      <w:r w:rsidR="003B25CC">
        <w:t xml:space="preserve"> contributed to the accretion of precedent on the application of the Rule in specific contexts by</w:t>
      </w:r>
      <w:r w:rsidR="00C075EF">
        <w:t xml:space="preserve"> rul</w:t>
      </w:r>
      <w:r w:rsidR="003B25CC">
        <w:t>ing</w:t>
      </w:r>
      <w:r w:rsidR="00C075EF">
        <w:t xml:space="preserve"> on what was a highly disputed issue</w:t>
      </w:r>
      <w:r w:rsidR="003B25CC">
        <w:t xml:space="preserve">, </w:t>
      </w:r>
      <w:r w:rsidR="00C075EF">
        <w:t>the possibility of applying the Rule where a trustee had</w:t>
      </w:r>
      <w:r w:rsidR="003B25CC">
        <w:t xml:space="preserve">, before coming to a final decision regarding </w:t>
      </w:r>
      <w:r w:rsidR="003B25CC">
        <w:lastRenderedPageBreak/>
        <w:t>the exercise of its discretion, invited and received</w:t>
      </w:r>
      <w:r w:rsidR="00E12792">
        <w:t xml:space="preserve"> </w:t>
      </w:r>
      <w:r w:rsidR="003B25CC">
        <w:t>the advice of</w:t>
      </w:r>
      <w:r w:rsidR="00C075EF">
        <w:t xml:space="preserve"> a professional</w:t>
      </w:r>
      <w:r w:rsidR="006E34EE">
        <w:t>, such as an ac</w:t>
      </w:r>
      <w:r w:rsidR="003B25CC">
        <w:t xml:space="preserve">countant or tax </w:t>
      </w:r>
      <w:r w:rsidR="006E34EE">
        <w:t>specialist</w:t>
      </w:r>
      <w:r w:rsidR="003B25CC">
        <w:t>. The Court held receipt of such advice to</w:t>
      </w:r>
      <w:r w:rsidR="00C075EF">
        <w:t xml:space="preserve"> </w:t>
      </w:r>
      <w:r w:rsidR="003B25CC">
        <w:t>remove trustees' consequent actions</w:t>
      </w:r>
      <w:r w:rsidR="00C075EF">
        <w:t xml:space="preserve"> </w:t>
      </w:r>
      <w:r w:rsidR="003B25CC">
        <w:t>from the Rule's ambit of application</w:t>
      </w:r>
      <w:r w:rsidR="00C075EF">
        <w:t>.</w:t>
      </w:r>
      <w:r w:rsidR="00C075EF">
        <w:rPr>
          <w:rStyle w:val="FootnoteReference"/>
        </w:rPr>
        <w:footnoteReference w:id="22"/>
      </w:r>
      <w:r w:rsidR="00C075EF">
        <w:t xml:space="preserve"> </w:t>
      </w:r>
    </w:p>
    <w:p w14:paraId="0C611DF5" w14:textId="375E6FF3" w:rsidR="00947A9E" w:rsidRDefault="00EB7566" w:rsidP="00A3629E">
      <w:pPr>
        <w:ind w:firstLine="360"/>
      </w:pPr>
      <w:r>
        <w:t xml:space="preserve">Another </w:t>
      </w:r>
      <w:r w:rsidR="003B25CC">
        <w:t xml:space="preserve">much-debated </w:t>
      </w:r>
      <w:r>
        <w:t>question</w:t>
      </w:r>
      <w:r w:rsidR="003B25CC">
        <w:t xml:space="preserve"> of law regarding the Rule's mode of application was not addressed</w:t>
      </w:r>
      <w:r>
        <w:t xml:space="preserve"> </w:t>
      </w:r>
      <w:r w:rsidR="003B25CC">
        <w:t xml:space="preserve">by the </w:t>
      </w:r>
      <w:r>
        <w:t>Court of Appeal</w:t>
      </w:r>
      <w:r w:rsidR="003B25CC">
        <w:t xml:space="preserve">, but rather by </w:t>
      </w:r>
      <w:r w:rsidR="00221268">
        <w:t>the U.K. Supreme Court</w:t>
      </w:r>
      <w:r w:rsidR="003B25CC">
        <w:t>:</w:t>
      </w:r>
      <w:r>
        <w:t xml:space="preserve"> the </w:t>
      </w:r>
      <w:r w:rsidR="00A3629E">
        <w:t>precise causative nexus</w:t>
      </w:r>
      <w:r>
        <w:t xml:space="preserve"> </w:t>
      </w:r>
      <w:r w:rsidR="003B25CC">
        <w:t xml:space="preserve">trustees </w:t>
      </w:r>
      <w:r w:rsidR="00A3629E">
        <w:t>must prove to obtain</w:t>
      </w:r>
      <w:r w:rsidR="003B25CC">
        <w:t xml:space="preserve"> an order under the Rule.</w:t>
      </w:r>
      <w:r w:rsidR="00221268">
        <w:t xml:space="preserve"> </w:t>
      </w:r>
      <w:r w:rsidR="003B25CC">
        <w:t>M</w:t>
      </w:r>
      <w:r w:rsidR="00221268">
        <w:t>ust</w:t>
      </w:r>
      <w:r w:rsidR="003B25CC">
        <w:t xml:space="preserve"> applicant</w:t>
      </w:r>
      <w:r w:rsidR="003C1425">
        <w:t xml:space="preserve"> </w:t>
      </w:r>
      <w:r w:rsidR="003B25CC">
        <w:t>trustees</w:t>
      </w:r>
      <w:r w:rsidR="00221268">
        <w:t xml:space="preserve"> convince the court that had they considered all</w:t>
      </w:r>
      <w:r w:rsidR="003C1425">
        <w:t xml:space="preserve"> the</w:t>
      </w:r>
      <w:r w:rsidR="00221268">
        <w:t xml:space="preserve"> relevant considerations and ignored all</w:t>
      </w:r>
      <w:r w:rsidR="003C1425">
        <w:t xml:space="preserve"> those which were</w:t>
      </w:r>
      <w:r w:rsidR="00221268">
        <w:t xml:space="preserve"> irrelevant</w:t>
      </w:r>
      <w:r w:rsidR="003C1425">
        <w:t>,</w:t>
      </w:r>
      <w:r w:rsidR="00221268">
        <w:t xml:space="preserve"> they </w:t>
      </w:r>
      <w:r w:rsidR="00221268" w:rsidRPr="003472E5">
        <w:rPr>
          <w:i/>
          <w:iCs/>
        </w:rPr>
        <w:t>would</w:t>
      </w:r>
      <w:r w:rsidR="00221268">
        <w:t xml:space="preserve"> not have </w:t>
      </w:r>
      <w:r w:rsidR="003C1425">
        <w:t>exercised their discretion</w:t>
      </w:r>
      <w:r w:rsidR="00221268">
        <w:t xml:space="preserve"> as they did, or </w:t>
      </w:r>
      <w:r w:rsidR="003C1425">
        <w:t>is</w:t>
      </w:r>
      <w:r w:rsidR="00221268">
        <w:t xml:space="preserve"> it suffic</w:t>
      </w:r>
      <w:r w:rsidR="003C1425">
        <w:t>i</w:t>
      </w:r>
      <w:r w:rsidR="00221268">
        <w:t>e</w:t>
      </w:r>
      <w:r w:rsidR="003C1425">
        <w:t>nt to show that a</w:t>
      </w:r>
      <w:r w:rsidR="00221268">
        <w:t xml:space="preserve"> </w:t>
      </w:r>
      <w:r w:rsidR="003C1425">
        <w:t xml:space="preserve">better </w:t>
      </w:r>
      <w:r w:rsidR="00221268">
        <w:t xml:space="preserve">decision making process </w:t>
      </w:r>
      <w:r w:rsidR="00221268">
        <w:rPr>
          <w:i/>
          <w:iCs/>
        </w:rPr>
        <w:t>might</w:t>
      </w:r>
      <w:r w:rsidR="00221268">
        <w:t xml:space="preserve"> have led them to act otherwise?</w:t>
      </w:r>
      <w:r w:rsidR="00267210">
        <w:t xml:space="preserve"> </w:t>
      </w:r>
      <w:r w:rsidR="003C1425">
        <w:t xml:space="preserve">Up until the Supreme Court's decision in </w:t>
      </w:r>
      <w:r w:rsidR="003C1425">
        <w:rPr>
          <w:i/>
          <w:iCs/>
        </w:rPr>
        <w:t>Pitt</w:t>
      </w:r>
      <w:r w:rsidR="003C1425">
        <w:t>, t</w:t>
      </w:r>
      <w:r w:rsidR="00267210">
        <w:t xml:space="preserve">he </w:t>
      </w:r>
      <w:r w:rsidR="003C1425">
        <w:t>dominant</w:t>
      </w:r>
      <w:r w:rsidR="00267210">
        <w:t xml:space="preserve"> </w:t>
      </w:r>
      <w:r w:rsidR="003C1425">
        <w:t>approach on this point of law</w:t>
      </w:r>
      <w:r w:rsidR="00267210">
        <w:t xml:space="preserve"> </w:t>
      </w:r>
      <w:r w:rsidR="003C1425">
        <w:t>distinguished</w:t>
      </w:r>
      <w:r w:rsidR="00267210">
        <w:t xml:space="preserve"> </w:t>
      </w:r>
      <w:r w:rsidR="003C1425">
        <w:t>dispositions which were</w:t>
      </w:r>
      <w:r w:rsidR="00267210">
        <w:t xml:space="preserve"> </w:t>
      </w:r>
      <w:r w:rsidR="003C1425">
        <w:t>voluntary</w:t>
      </w:r>
      <w:r w:rsidR="006A3BD2">
        <w:t>,</w:t>
      </w:r>
      <w:r w:rsidR="003C1425">
        <w:t xml:space="preserve"> in the sense that trustees were at liberty to refrain from carrying them out, from such involuntary dispositions as trustees were obliged to carry out under their trust instrument. To set aside voluntary dispositions, trustees had to show that given a proper decision making process they </w:t>
      </w:r>
      <w:r w:rsidR="003C1425">
        <w:rPr>
          <w:i/>
          <w:iCs/>
        </w:rPr>
        <w:t>would</w:t>
      </w:r>
      <w:r w:rsidR="003C1425">
        <w:t xml:space="preserve"> not have exercised their discretion as they did, while setting aside </w:t>
      </w:r>
      <w:r w:rsidR="002D5613">
        <w:t>involuntary</w:t>
      </w:r>
      <w:r w:rsidR="006A3BD2">
        <w:t xml:space="preserve"> </w:t>
      </w:r>
      <w:r w:rsidR="00267210">
        <w:t>disposition</w:t>
      </w:r>
      <w:r w:rsidR="006A3BD2">
        <w:t>s</w:t>
      </w:r>
      <w:r w:rsidR="00267210">
        <w:t xml:space="preserve"> </w:t>
      </w:r>
      <w:r w:rsidR="002D5613">
        <w:t>merely required a showing that absent the processual flaw in trustees' decision making, they</w:t>
      </w:r>
      <w:r w:rsidR="001D395D">
        <w:t xml:space="preserve"> </w:t>
      </w:r>
      <w:r w:rsidR="002D5613" w:rsidRPr="002D5613">
        <w:rPr>
          <w:i/>
          <w:iCs/>
        </w:rPr>
        <w:t>m</w:t>
      </w:r>
      <w:r w:rsidR="001D395D" w:rsidRPr="002D5613">
        <w:rPr>
          <w:i/>
          <w:iCs/>
        </w:rPr>
        <w:t>ight</w:t>
      </w:r>
      <w:r w:rsidR="002D5613">
        <w:t xml:space="preserve"> have exercised their discretion differently</w:t>
      </w:r>
      <w:r w:rsidR="001D395D">
        <w:t>.</w:t>
      </w:r>
      <w:r w:rsidR="001D395D">
        <w:rPr>
          <w:rStyle w:val="FootnoteReference"/>
        </w:rPr>
        <w:footnoteReference w:id="23"/>
      </w:r>
      <w:r w:rsidR="001D395D">
        <w:t xml:space="preserve"> </w:t>
      </w:r>
      <w:r w:rsidR="001012BC">
        <w:t>The Supreme Court rejected t</w:t>
      </w:r>
      <w:r w:rsidR="00F43395">
        <w:t xml:space="preserve">his dichotomous </w:t>
      </w:r>
      <w:r w:rsidR="004A0EF9">
        <w:t>rule of thumb</w:t>
      </w:r>
      <w:r w:rsidR="00F43395">
        <w:t xml:space="preserve">, </w:t>
      </w:r>
      <w:r w:rsidR="001012BC">
        <w:t>holding</w:t>
      </w:r>
      <w:r w:rsidR="00F43395">
        <w:t xml:space="preserve"> that </w:t>
      </w:r>
      <w:r w:rsidR="001012BC">
        <w:t>C</w:t>
      </w:r>
      <w:r w:rsidR="00F43395">
        <w:t>ourt</w:t>
      </w:r>
      <w:r w:rsidR="001012BC">
        <w:t>s</w:t>
      </w:r>
      <w:r w:rsidR="00F43395">
        <w:t xml:space="preserve"> must decide whether to apply the Rule according to the unique circ</w:t>
      </w:r>
      <w:r w:rsidR="004A0EF9">
        <w:t xml:space="preserve">umstances of </w:t>
      </w:r>
      <w:r w:rsidR="001012BC">
        <w:t>each</w:t>
      </w:r>
      <w:r w:rsidR="004A0EF9">
        <w:t xml:space="preserve"> case.</w:t>
      </w:r>
      <w:r w:rsidR="00F43395">
        <w:rPr>
          <w:rStyle w:val="FootnoteReference"/>
        </w:rPr>
        <w:footnoteReference w:id="24"/>
      </w:r>
      <w:r w:rsidR="00F43395">
        <w:t xml:space="preserve"> </w:t>
      </w:r>
      <w:r w:rsidR="004D54A5">
        <w:t xml:space="preserve">  </w:t>
      </w:r>
    </w:p>
    <w:p w14:paraId="6608CEFB" w14:textId="0811AF40" w:rsidR="003F7CB2" w:rsidRDefault="002D7096" w:rsidP="00A3629E">
      <w:pPr>
        <w:ind w:firstLine="720"/>
      </w:pPr>
      <w:r>
        <w:t xml:space="preserve">How </w:t>
      </w:r>
      <w:r w:rsidR="00FC2FD7">
        <w:t xml:space="preserve">much </w:t>
      </w:r>
      <w:r w:rsidR="00581FEB">
        <w:t>weaker has</w:t>
      </w:r>
      <w:r>
        <w:t xml:space="preserve"> the Rule </w:t>
      </w:r>
      <w:r w:rsidR="00581FEB">
        <w:t>in fact become</w:t>
      </w:r>
      <w:r>
        <w:t xml:space="preserve"> in post</w:t>
      </w:r>
      <w:r w:rsidR="00581FEB">
        <w:rPr>
          <w:i/>
          <w:iCs/>
        </w:rPr>
        <w:t>-</w:t>
      </w:r>
      <w:r>
        <w:rPr>
          <w:i/>
          <w:iCs/>
        </w:rPr>
        <w:t>Pitt</w:t>
      </w:r>
      <w:r>
        <w:t xml:space="preserve"> </w:t>
      </w:r>
      <w:r w:rsidR="00635DD6">
        <w:t xml:space="preserve">English </w:t>
      </w:r>
      <w:r w:rsidR="00581FEB">
        <w:t>l</w:t>
      </w:r>
      <w:r w:rsidR="00635DD6">
        <w:t>aw</w:t>
      </w:r>
      <w:r>
        <w:t xml:space="preserve">, and does it still provide trustees with a valuable tool for mending ill-judged exercises of </w:t>
      </w:r>
      <w:r w:rsidR="00D06CC8">
        <w:t>discretion</w:t>
      </w:r>
      <w:r>
        <w:t xml:space="preserve">? </w:t>
      </w:r>
      <w:r w:rsidR="00D06CC8">
        <w:t xml:space="preserve">Despite the rhetoric of curtailment which characterized </w:t>
      </w:r>
      <w:r w:rsidR="00C10F79">
        <w:t xml:space="preserve">the decisions in </w:t>
      </w:r>
      <w:r w:rsidR="00D06CC8">
        <w:rPr>
          <w:i/>
          <w:iCs/>
        </w:rPr>
        <w:t>Pitt</w:t>
      </w:r>
      <w:r w:rsidR="00D06CC8">
        <w:t>, the answer to the latter question appears positive</w:t>
      </w:r>
      <w:r w:rsidR="00635DD6">
        <w:t xml:space="preserve">. </w:t>
      </w:r>
      <w:r w:rsidR="00D06CC8">
        <w:t>At</w:t>
      </w:r>
      <w:r w:rsidR="00EC510B">
        <w:t xml:space="preserve"> the very least, transactions by trustees may still be declared voidable under the Rule </w:t>
      </w:r>
      <w:r w:rsidR="00D06CC8">
        <w:t xml:space="preserve">where it is successfully shown that they amounted to </w:t>
      </w:r>
      <w:r w:rsidR="00EC510B">
        <w:t xml:space="preserve">a breach of duty. </w:t>
      </w:r>
      <w:r w:rsidR="00D06CC8">
        <w:t>N</w:t>
      </w:r>
      <w:r w:rsidR="00EC510B">
        <w:t>ot</w:t>
      </w:r>
      <w:r w:rsidR="00D06CC8">
        <w:t>abl</w:t>
      </w:r>
      <w:r w:rsidR="00435266">
        <w:t>y</w:t>
      </w:r>
      <w:r w:rsidR="00D06CC8">
        <w:t>, the apparent retreat of the Rule from a void to a voidable result may under some circumstances lack practical significance: an application of the Rule to an exercise of trustee</w:t>
      </w:r>
      <w:r w:rsidR="00F467A8">
        <w:t xml:space="preserve"> </w:t>
      </w:r>
      <w:r w:rsidR="00D06CC8">
        <w:t>discretion</w:t>
      </w:r>
      <w:r w:rsidR="00F467A8">
        <w:t xml:space="preserve"> which </w:t>
      </w:r>
      <w:r w:rsidR="00D06CC8">
        <w:lastRenderedPageBreak/>
        <w:t>produced</w:t>
      </w:r>
      <w:r w:rsidR="00F467A8">
        <w:t xml:space="preserve"> an unexpected </w:t>
      </w:r>
      <w:r w:rsidR="00D06CC8">
        <w:t>liability to Inheritance Tax</w:t>
      </w:r>
      <w:r w:rsidR="00F467A8">
        <w:t xml:space="preserve"> </w:t>
      </w:r>
      <w:r w:rsidR="00D06CC8">
        <w:t xml:space="preserve">would still bring about the hoped-for refund, despite the application of the Rule rendering the exercise, post </w:t>
      </w:r>
      <w:r w:rsidR="00D06CC8">
        <w:rPr>
          <w:i/>
          <w:iCs/>
        </w:rPr>
        <w:t>Pitt</w:t>
      </w:r>
      <w:r w:rsidR="00D06CC8">
        <w:t xml:space="preserve">, </w:t>
      </w:r>
      <w:r w:rsidR="00F467A8">
        <w:t xml:space="preserve">voidable </w:t>
      </w:r>
      <w:r w:rsidR="00D06CC8">
        <w:t>rather than</w:t>
      </w:r>
      <w:r w:rsidR="00F467A8">
        <w:t xml:space="preserve"> void </w:t>
      </w:r>
      <w:r w:rsidR="00F467A8">
        <w:rPr>
          <w:i/>
          <w:iCs/>
        </w:rPr>
        <w:t>ab initio</w:t>
      </w:r>
      <w:r w:rsidR="00F467A8">
        <w:t>.</w:t>
      </w:r>
      <w:r w:rsidR="00F467A8">
        <w:rPr>
          <w:rStyle w:val="FootnoteReference"/>
        </w:rPr>
        <w:footnoteReference w:id="25"/>
      </w:r>
      <w:r w:rsidR="004360D4">
        <w:t xml:space="preserve"> </w:t>
      </w:r>
      <w:r w:rsidR="00D06CC8">
        <w:t>Further</w:t>
      </w:r>
      <w:r w:rsidR="004360D4">
        <w:t xml:space="preserve">, </w:t>
      </w:r>
      <w:r w:rsidR="00994BA2">
        <w:t xml:space="preserve">as </w:t>
      </w:r>
      <w:r w:rsidR="00435266">
        <w:t>pointed out in</w:t>
      </w:r>
      <w:r w:rsidR="00D06CC8">
        <w:t xml:space="preserve"> </w:t>
      </w:r>
      <w:r w:rsidR="00994BA2">
        <w:t xml:space="preserve">some critiques of the decision in </w:t>
      </w:r>
      <w:r w:rsidR="00994BA2">
        <w:rPr>
          <w:i/>
          <w:iCs/>
        </w:rPr>
        <w:t>Pitt</w:t>
      </w:r>
      <w:r w:rsidR="00994BA2">
        <w:t>, there seem to be at least a couple of ways to bypass the Court</w:t>
      </w:r>
      <w:r w:rsidR="00435266">
        <w:t>’s attempts at</w:t>
      </w:r>
      <w:r w:rsidR="00994BA2">
        <w:t xml:space="preserve"> rein</w:t>
      </w:r>
      <w:r w:rsidR="00435266">
        <w:t>ing</w:t>
      </w:r>
      <w:r w:rsidR="00994BA2">
        <w:t xml:space="preserve"> in the Rule and render an exercise of power by trustee</w:t>
      </w:r>
      <w:r w:rsidR="00435266">
        <w:t>s void rather than</w:t>
      </w:r>
      <w:r w:rsidR="00994BA2">
        <w:t xml:space="preserve"> </w:t>
      </w:r>
      <w:r w:rsidR="00435266">
        <w:t>merely voidable. For one, as a trustee's</w:t>
      </w:r>
      <w:r w:rsidR="00994BA2">
        <w:t xml:space="preserve"> act </w:t>
      </w:r>
      <w:r w:rsidR="00994BA2">
        <w:rPr>
          <w:i/>
          <w:iCs/>
        </w:rPr>
        <w:t>ultra vires</w:t>
      </w:r>
      <w:r w:rsidR="00994BA2">
        <w:t xml:space="preserve"> may still be declared void, all that a trustee must do to enjoy the applicat</w:t>
      </w:r>
      <w:r w:rsidR="00435266">
        <w:t>ion</w:t>
      </w:r>
      <w:r w:rsidR="00994BA2">
        <w:t xml:space="preserve"> of a full-scale, pre</w:t>
      </w:r>
      <w:r w:rsidR="00435266">
        <w:t>-</w:t>
      </w:r>
      <w:r w:rsidR="00994BA2">
        <w:rPr>
          <w:i/>
          <w:iCs/>
        </w:rPr>
        <w:t>Pitt</w:t>
      </w:r>
      <w:r w:rsidR="00994BA2">
        <w:t xml:space="preserve"> version of the Rule is include a clause in the trust </w:t>
      </w:r>
      <w:r w:rsidR="00435266">
        <w:t>instrument</w:t>
      </w:r>
      <w:r w:rsidR="00994BA2">
        <w:t xml:space="preserve"> </w:t>
      </w:r>
      <w:r w:rsidR="00435266">
        <w:t>to the effect that</w:t>
      </w:r>
      <w:r w:rsidR="00994BA2">
        <w:t xml:space="preserve"> </w:t>
      </w:r>
      <w:r w:rsidR="00E65A5B">
        <w:t xml:space="preserve">the trustee must consider all relevant considerations and ignore all </w:t>
      </w:r>
      <w:r w:rsidR="00435266">
        <w:t>ir</w:t>
      </w:r>
      <w:r w:rsidR="00E65A5B">
        <w:t xml:space="preserve">relevant considerations before </w:t>
      </w:r>
      <w:r w:rsidR="00435266">
        <w:t xml:space="preserve">exercising </w:t>
      </w:r>
      <w:r w:rsidR="00F64E13">
        <w:t xml:space="preserve">one or more of </w:t>
      </w:r>
      <w:r w:rsidR="00435266">
        <w:t>its powers and discretions</w:t>
      </w:r>
      <w:r w:rsidR="00E65A5B">
        <w:t xml:space="preserve">. A </w:t>
      </w:r>
      <w:r w:rsidR="0049739C">
        <w:t xml:space="preserve">disposition consequent on a </w:t>
      </w:r>
      <w:r w:rsidR="00E65A5B">
        <w:t xml:space="preserve">failure to do so would </w:t>
      </w:r>
      <w:r w:rsidR="00435266">
        <w:t xml:space="preserve">then arguably </w:t>
      </w:r>
      <w:r w:rsidR="00E65A5B">
        <w:t xml:space="preserve">amount to </w:t>
      </w:r>
      <w:r w:rsidR="00435266">
        <w:t xml:space="preserve">an act </w:t>
      </w:r>
      <w:r w:rsidR="00435266">
        <w:rPr>
          <w:i/>
          <w:iCs/>
        </w:rPr>
        <w:t>ultra vires</w:t>
      </w:r>
      <w:r w:rsidR="00435266">
        <w:t xml:space="preserve">, </w:t>
      </w:r>
      <w:r w:rsidR="00E65A5B">
        <w:t>rendering the exercise of power void.</w:t>
      </w:r>
      <w:r w:rsidR="00E65A5B">
        <w:rPr>
          <w:rStyle w:val="FootnoteReference"/>
        </w:rPr>
        <w:footnoteReference w:id="26"/>
      </w:r>
      <w:r w:rsidR="00E65A5B">
        <w:t xml:space="preserve"> </w:t>
      </w:r>
      <w:r w:rsidR="00435266">
        <w:t>In fact, s</w:t>
      </w:r>
      <w:r w:rsidR="00E01F60">
        <w:t xml:space="preserve">uch a </w:t>
      </w:r>
      <w:r w:rsidR="00F64E13">
        <w:t>drafted</w:t>
      </w:r>
      <w:r w:rsidR="00435266">
        <w:t xml:space="preserve"> version of the Rule</w:t>
      </w:r>
      <w:r w:rsidR="00E01F60">
        <w:t xml:space="preserve"> </w:t>
      </w:r>
      <w:r w:rsidR="00435266">
        <w:t>is likely to prove even stronger than the judicial Rule in its pre-</w:t>
      </w:r>
      <w:r w:rsidR="00435266">
        <w:rPr>
          <w:i/>
          <w:iCs/>
        </w:rPr>
        <w:t>Pitt</w:t>
      </w:r>
      <w:r w:rsidR="00435266">
        <w:t xml:space="preserve"> form</w:t>
      </w:r>
      <w:r w:rsidR="00E01F60">
        <w:t xml:space="preserve">: as </w:t>
      </w:r>
      <w:r w:rsidR="00435266">
        <w:t>noted</w:t>
      </w:r>
      <w:r w:rsidR="00E01F60">
        <w:t xml:space="preserve"> above, </w:t>
      </w:r>
      <w:r w:rsidR="00435266">
        <w:t>for an application for an order under the judicial Rule to succeed</w:t>
      </w:r>
      <w:r w:rsidR="00287482">
        <w:t>,</w:t>
      </w:r>
      <w:r w:rsidR="00435266">
        <w:t xml:space="preserve"> its proponents had </w:t>
      </w:r>
      <w:r w:rsidR="00C55537">
        <w:t xml:space="preserve">to show </w:t>
      </w:r>
      <w:r w:rsidR="00435266">
        <w:t xml:space="preserve">both </w:t>
      </w:r>
      <w:r w:rsidR="00287482">
        <w:t>a flaw in</w:t>
      </w:r>
      <w:r w:rsidR="00C55537">
        <w:t xml:space="preserve"> trustees</w:t>
      </w:r>
      <w:r w:rsidR="00435266">
        <w:t xml:space="preserve">' </w:t>
      </w:r>
      <w:r w:rsidR="00C10F79">
        <w:t>decision making process</w:t>
      </w:r>
      <w:r w:rsidR="00C55537">
        <w:t xml:space="preserve"> </w:t>
      </w:r>
      <w:r w:rsidR="00435266">
        <w:t>and</w:t>
      </w:r>
      <w:r w:rsidR="00C55537">
        <w:t xml:space="preserve"> some </w:t>
      </w:r>
      <w:r w:rsidR="00435266">
        <w:t>causal connection between that flaw</w:t>
      </w:r>
      <w:r w:rsidR="00C55537">
        <w:t xml:space="preserve"> and the </w:t>
      </w:r>
      <w:r w:rsidR="00435266">
        <w:t>consequent disposition,</w:t>
      </w:r>
      <w:r w:rsidR="00C55537">
        <w:t xml:space="preserve"> be </w:t>
      </w:r>
      <w:r w:rsidR="00435266">
        <w:t>that connection</w:t>
      </w:r>
      <w:r w:rsidR="00C55537">
        <w:t xml:space="preserve"> </w:t>
      </w:r>
      <w:r w:rsidR="00435266">
        <w:t xml:space="preserve">of the </w:t>
      </w:r>
      <w:r w:rsidR="00C55537">
        <w:t>“would have”</w:t>
      </w:r>
      <w:r w:rsidR="00435266">
        <w:t xml:space="preserve"> </w:t>
      </w:r>
      <w:r w:rsidR="00F64E13">
        <w:t>o</w:t>
      </w:r>
      <w:r w:rsidR="00435266">
        <w:t>r</w:t>
      </w:r>
      <w:r w:rsidR="00C55537">
        <w:t xml:space="preserve"> </w:t>
      </w:r>
      <w:r w:rsidR="00435266">
        <w:t xml:space="preserve">the </w:t>
      </w:r>
      <w:r w:rsidR="00C55537">
        <w:t>“might have”</w:t>
      </w:r>
      <w:r w:rsidR="00435266">
        <w:t xml:space="preserve"> </w:t>
      </w:r>
      <w:r w:rsidR="00F64E13">
        <w:t>variety</w:t>
      </w:r>
      <w:r w:rsidR="00C55537">
        <w:t xml:space="preserve">. </w:t>
      </w:r>
      <w:r w:rsidR="00F64E13">
        <w:t xml:space="preserve">On the other hand, a trust instrument </w:t>
      </w:r>
      <w:r w:rsidR="00C55537">
        <w:t xml:space="preserve">clause </w:t>
      </w:r>
      <w:r w:rsidR="00F64E13">
        <w:t xml:space="preserve">restricting one or more of the trustees' powers to exercises which follow a taking into account of all relevant considerations and none that are irrelevant </w:t>
      </w:r>
      <w:r w:rsidR="00C55537">
        <w:t xml:space="preserve">would make </w:t>
      </w:r>
      <w:r w:rsidR="00C55537">
        <w:rPr>
          <w:i/>
          <w:iCs/>
        </w:rPr>
        <w:t>any</w:t>
      </w:r>
      <w:r w:rsidR="00C55537">
        <w:t xml:space="preserve"> trustee</w:t>
      </w:r>
      <w:r w:rsidR="00F64E13">
        <w:t xml:space="preserve"> disposition</w:t>
      </w:r>
      <w:r w:rsidR="00C55537">
        <w:t xml:space="preserve"> </w:t>
      </w:r>
      <w:r w:rsidR="00F64E13">
        <w:t>following</w:t>
      </w:r>
      <w:r w:rsidR="00C55537">
        <w:t xml:space="preserve"> a flawed </w:t>
      </w:r>
      <w:r w:rsidR="00287482">
        <w:t>decision making process</w:t>
      </w:r>
      <w:r w:rsidR="00EA5D0E">
        <w:t xml:space="preserve"> </w:t>
      </w:r>
      <w:r w:rsidR="00C55537">
        <w:t xml:space="preserve">void, regardless of </w:t>
      </w:r>
      <w:r w:rsidR="00F64E13">
        <w:t xml:space="preserve">the </w:t>
      </w:r>
      <w:r w:rsidR="00C55537">
        <w:t>causal connection</w:t>
      </w:r>
      <w:r w:rsidR="00EA5D0E">
        <w:t xml:space="preserve"> between the</w:t>
      </w:r>
      <w:r w:rsidR="00F64E13">
        <w:t xml:space="preserve"> flaw and the disposition</w:t>
      </w:r>
      <w:r w:rsidR="00C55537">
        <w:t xml:space="preserve">. Another way around the decision in </w:t>
      </w:r>
      <w:r w:rsidR="00C55537">
        <w:rPr>
          <w:i/>
          <w:iCs/>
        </w:rPr>
        <w:t>Pitt</w:t>
      </w:r>
      <w:r w:rsidR="00C55537">
        <w:t xml:space="preserve"> </w:t>
      </w:r>
      <w:r w:rsidR="00F64E13">
        <w:t xml:space="preserve">which has been </w:t>
      </w:r>
      <w:r w:rsidR="00C55537">
        <w:t xml:space="preserve">pointed out in </w:t>
      </w:r>
      <w:r w:rsidR="00F64E13">
        <w:t>the</w:t>
      </w:r>
      <w:r w:rsidR="00C55537">
        <w:t xml:space="preserve"> literature </w:t>
      </w:r>
      <w:r w:rsidR="00F64E13">
        <w:t>involves an application of the fraud on a power doctrine. Under this view, where proponents could show trustee</w:t>
      </w:r>
      <w:r w:rsidR="00B46F6A">
        <w:t>s</w:t>
      </w:r>
      <w:r w:rsidR="00F64E13">
        <w:t>'</w:t>
      </w:r>
      <w:r w:rsidR="00B46F6A">
        <w:t xml:space="preserve"> decision making process </w:t>
      </w:r>
      <w:r w:rsidR="00F64E13">
        <w:t>to have been</w:t>
      </w:r>
      <w:r w:rsidR="00B46F6A">
        <w:t xml:space="preserve"> not </w:t>
      </w:r>
      <w:r w:rsidR="00F64E13">
        <w:t>mere</w:t>
      </w:r>
      <w:r w:rsidR="00B46F6A">
        <w:t xml:space="preserve">ly careless or negligent, but </w:t>
      </w:r>
      <w:r w:rsidR="00EA5D0E">
        <w:t xml:space="preserve">rather </w:t>
      </w:r>
      <w:r w:rsidR="008A4EDF">
        <w:t>deliberately targeted at</w:t>
      </w:r>
      <w:r w:rsidR="00B46F6A">
        <w:t xml:space="preserve"> serv</w:t>
      </w:r>
      <w:r w:rsidR="008A4EDF">
        <w:t>ing</w:t>
      </w:r>
      <w:r w:rsidR="00B46F6A">
        <w:t xml:space="preserve"> not beneficiaries’ best interest</w:t>
      </w:r>
      <w:r w:rsidR="00F64E13">
        <w:t>s</w:t>
      </w:r>
      <w:r w:rsidR="00B46F6A">
        <w:t xml:space="preserve">, but </w:t>
      </w:r>
      <w:r w:rsidR="00F64E13">
        <w:t>those of the</w:t>
      </w:r>
      <w:r w:rsidR="008A4EDF">
        <w:t>ir</w:t>
      </w:r>
      <w:r w:rsidR="00F64E13">
        <w:t xml:space="preserve"> trustees,</w:t>
      </w:r>
      <w:r w:rsidR="00B46F6A">
        <w:t xml:space="preserve"> trustees’ </w:t>
      </w:r>
      <w:r w:rsidR="00F64E13">
        <w:t>consequent exercise of their powers</w:t>
      </w:r>
      <w:r w:rsidR="00B46F6A">
        <w:t xml:space="preserve"> would arguably amount to a </w:t>
      </w:r>
      <w:r w:rsidR="00F64E13">
        <w:t>fraud on those</w:t>
      </w:r>
      <w:r w:rsidR="00B46F6A">
        <w:t xml:space="preserve"> </w:t>
      </w:r>
      <w:r w:rsidR="00F64E13">
        <w:t>p</w:t>
      </w:r>
      <w:r w:rsidR="00B46F6A">
        <w:t>ower</w:t>
      </w:r>
      <w:r w:rsidR="00F64E13">
        <w:t>s</w:t>
      </w:r>
      <w:r w:rsidR="00B46F6A">
        <w:t xml:space="preserve">, </w:t>
      </w:r>
      <w:r w:rsidR="00EA5D0E">
        <w:t xml:space="preserve">and would </w:t>
      </w:r>
      <w:r w:rsidR="00B46F6A">
        <w:t xml:space="preserve">thus </w:t>
      </w:r>
      <w:r w:rsidR="00EA5D0E">
        <w:t xml:space="preserve">be </w:t>
      </w:r>
      <w:r w:rsidR="00B46F6A">
        <w:t>render</w:t>
      </w:r>
      <w:r w:rsidR="00EA5D0E">
        <w:t>ed</w:t>
      </w:r>
      <w:r w:rsidR="00B46F6A">
        <w:t xml:space="preserve"> void.</w:t>
      </w:r>
      <w:r w:rsidR="00B46F6A">
        <w:rPr>
          <w:rStyle w:val="FootnoteReference"/>
        </w:rPr>
        <w:footnoteReference w:id="27"/>
      </w:r>
    </w:p>
    <w:p w14:paraId="5E7DC2BC" w14:textId="77777777" w:rsidR="00C80B61" w:rsidRDefault="00C80B61" w:rsidP="00C80B61"/>
    <w:p w14:paraId="19A49CD6" w14:textId="74889B8F" w:rsidR="00C80B61" w:rsidRDefault="00C80B61" w:rsidP="00C80B61">
      <w:pPr>
        <w:pStyle w:val="ListParagraph"/>
        <w:numPr>
          <w:ilvl w:val="0"/>
          <w:numId w:val="1"/>
        </w:numPr>
      </w:pPr>
      <w:r>
        <w:t>Recent Applications of Equitable Mistake Doctrine</w:t>
      </w:r>
    </w:p>
    <w:p w14:paraId="57DE8EF2" w14:textId="7E4E89B4" w:rsidR="00BE43A5" w:rsidRDefault="008C51E3" w:rsidP="00C80B61">
      <w:pPr>
        <w:ind w:firstLine="426"/>
      </w:pPr>
      <w:r w:rsidRPr="0031727C">
        <w:lastRenderedPageBreak/>
        <w:t xml:space="preserve">Time will tell whether these ways around the apparently restrictive approach of the </w:t>
      </w:r>
      <w:r w:rsidRPr="001E1898">
        <w:rPr>
          <w:i/>
          <w:iCs/>
        </w:rPr>
        <w:t>Pitt</w:t>
      </w:r>
      <w:r w:rsidRPr="0031727C">
        <w:t xml:space="preserve"> courts will be taken advantage of. In the meantime, recent cases show Chancery division judges being generous in their application of the doctrine of equitable mistake to cases where assets were settled on trust</w:t>
      </w:r>
      <w:r w:rsidR="001E1898">
        <w:t>,</w:t>
      </w:r>
      <w:r w:rsidR="00B87358">
        <w:t xml:space="preserve"> or appointe</w:t>
      </w:r>
      <w:r w:rsidR="001E1898">
        <w:t>d</w:t>
      </w:r>
      <w:r w:rsidR="00B87358">
        <w:t xml:space="preserve"> out of trust</w:t>
      </w:r>
      <w:r w:rsidR="001E1898">
        <w:t>,</w:t>
      </w:r>
      <w:r w:rsidRPr="0031727C">
        <w:t xml:space="preserve"> based on erroneous professional advice concerning </w:t>
      </w:r>
      <w:r w:rsidR="00B87358">
        <w:t xml:space="preserve">the </w:t>
      </w:r>
      <w:r w:rsidRPr="0031727C">
        <w:t>tax</w:t>
      </w:r>
      <w:r w:rsidR="00B87358">
        <w:t xml:space="preserve"> implications of the settlement or appointment</w:t>
      </w:r>
      <w:r w:rsidRPr="0031727C">
        <w:t xml:space="preserve">. </w:t>
      </w:r>
      <w:r w:rsidR="00B87358">
        <w:t xml:space="preserve">In </w:t>
      </w:r>
      <w:r w:rsidR="00B87358">
        <w:rPr>
          <w:i/>
          <w:iCs/>
        </w:rPr>
        <w:t>Kennedy v. Kennedy</w:t>
      </w:r>
      <w:r w:rsidR="00B87358">
        <w:t xml:space="preserve">, </w:t>
      </w:r>
      <w:r w:rsidR="000F504F">
        <w:t xml:space="preserve">an appointment of trust assets </w:t>
      </w:r>
      <w:r w:rsidR="00BE43A5">
        <w:t xml:space="preserve">to Mr. Kennedy, the settlor, </w:t>
      </w:r>
      <w:r w:rsidR="000F504F">
        <w:t xml:space="preserve">productive of a large liability to capital gains tax was set aside for equitable mistake, the court reasoning that </w:t>
      </w:r>
    </w:p>
    <w:p w14:paraId="634258E9" w14:textId="4339D9D7" w:rsidR="006F2D74" w:rsidRDefault="00BE43A5" w:rsidP="00BE43A5">
      <w:pPr>
        <w:ind w:left="720" w:right="996"/>
      </w:pPr>
      <w:r>
        <w:rPr>
          <w:rFonts w:cs="Times New Roman"/>
        </w:rPr>
        <w:t xml:space="preserve">[t]he mistakes made by the three trustees were causative and very serious. It was a fundamental feature of the … planning, as instructed by </w:t>
      </w:r>
      <w:proofErr w:type="spellStart"/>
      <w:r>
        <w:rPr>
          <w:rFonts w:cs="Times New Roman"/>
        </w:rPr>
        <w:t>Mr</w:t>
      </w:r>
      <w:proofErr w:type="spellEnd"/>
      <w:r>
        <w:rPr>
          <w:rFonts w:cs="Times New Roman"/>
        </w:rPr>
        <w:t xml:space="preserve"> Kennedy and understood by his professional advisers, that the October 2008 Appointment should not give </w:t>
      </w:r>
      <w:proofErr w:type="gramStart"/>
      <w:r>
        <w:rPr>
          <w:rFonts w:cs="Times New Roman"/>
        </w:rPr>
        <w:t>rise</w:t>
      </w:r>
      <w:proofErr w:type="gramEnd"/>
      <w:r>
        <w:rPr>
          <w:rFonts w:cs="Times New Roman"/>
        </w:rPr>
        <w:t xml:space="preserve"> to a charge to CGT. Had the trustees not been mistaken they would not have executed the October 2008 Appointment with the terms it contained. In particular, they would not have executed it with clause 2.1(c) included. The effect of the inclusion of clause 2.1(c) was to deprive the other beneficiaries of the Settlement, namely (subject to any future appointment) </w:t>
      </w:r>
      <w:proofErr w:type="spellStart"/>
      <w:r>
        <w:rPr>
          <w:rFonts w:cs="Times New Roman"/>
        </w:rPr>
        <w:t>Mr</w:t>
      </w:r>
      <w:proofErr w:type="spellEnd"/>
      <w:r>
        <w:rPr>
          <w:rFonts w:cs="Times New Roman"/>
        </w:rPr>
        <w:t xml:space="preserve"> and </w:t>
      </w:r>
      <w:proofErr w:type="spellStart"/>
      <w:r>
        <w:rPr>
          <w:rFonts w:cs="Times New Roman"/>
        </w:rPr>
        <w:t>Mrs</w:t>
      </w:r>
      <w:proofErr w:type="spellEnd"/>
      <w:r>
        <w:rPr>
          <w:rFonts w:cs="Times New Roman"/>
        </w:rPr>
        <w:t xml:space="preserve"> Kennedy's children, of the relevant assets and to diminish the value of the remaining assets in the Settlement by the amount of the substantial charge to CGT payable by the trustees of the Settlement.</w:t>
      </w:r>
      <w:r>
        <w:rPr>
          <w:rFonts w:asciiTheme="majorBidi" w:hAnsiTheme="majorBidi" w:cstheme="majorBidi"/>
        </w:rPr>
        <w:t>"</w:t>
      </w:r>
      <w:r>
        <w:rPr>
          <w:rStyle w:val="FootnoteReference"/>
          <w:rFonts w:asciiTheme="majorBidi" w:hAnsiTheme="majorBidi" w:cstheme="majorBidi"/>
        </w:rPr>
        <w:footnoteReference w:id="28"/>
      </w:r>
    </w:p>
    <w:p w14:paraId="242326EC" w14:textId="2055292C" w:rsidR="00BE43A5" w:rsidRPr="00BE43A5" w:rsidRDefault="00BE43A5" w:rsidP="000B1209">
      <w:pPr>
        <w:ind w:right="4"/>
      </w:pPr>
      <w:r>
        <w:t xml:space="preserve">In </w:t>
      </w:r>
      <w:r>
        <w:rPr>
          <w:i/>
          <w:iCs/>
        </w:rPr>
        <w:t>Freedman v. Freedman</w:t>
      </w:r>
      <w:r>
        <w:t xml:space="preserve">, the </w:t>
      </w:r>
      <w:r w:rsidR="001E1898">
        <w:t xml:space="preserve">very settlement of a family trust was set aside by an application of the doctrine of equitable mistake. Melanie Freedman, the settlor, settled her two houses on trust based on advice by her father's solicitors, who failed to </w:t>
      </w:r>
      <w:r w:rsidR="000B1209">
        <w:t>consider</w:t>
      </w:r>
      <w:r w:rsidR="001E1898">
        <w:t xml:space="preserve"> the large inheritance tax liabilities consequent on the settlement's creation. </w:t>
      </w:r>
      <w:r w:rsidR="00B73DC8">
        <w:t xml:space="preserve">While the settlement was created to prevent Melanie's various suitors from acquiring rights in the houses, it was also intended that one of the houses be sold, and the proceeds used to pay back a large part of a loan Melanie's father provided to enable her to purchase her second house. Given the tax liabilities consequent on the settlement's creation, however, Melanie was not going to have enough of the proceeds left to cover much of the loan, and was likely, on the evidence, to be forced to sell her second house, where she currently lived with her son. The Court saw the mistake by Melanie, her father and his solicitors concerning the tax consequences of the settlement as serious enough to justify setting it </w:t>
      </w:r>
      <w:r w:rsidR="00B73DC8">
        <w:lastRenderedPageBreak/>
        <w:t>aside, noting that "</w:t>
      </w:r>
      <w:r w:rsidR="00B73DC8">
        <w:rPr>
          <w:rFonts w:cs="Times New Roman"/>
        </w:rPr>
        <w:t>the fact that the tax charge means that the loan cannot be repaid makes all the difference</w:t>
      </w:r>
      <w:r w:rsidR="00B73DC8">
        <w:t>".</w:t>
      </w:r>
      <w:r w:rsidR="00B73DC8">
        <w:rPr>
          <w:rStyle w:val="FootnoteReference"/>
        </w:rPr>
        <w:footnoteReference w:id="29"/>
      </w:r>
    </w:p>
    <w:p w14:paraId="41FCA8CE" w14:textId="77777777" w:rsidR="008A4EDF" w:rsidRDefault="008A4EDF" w:rsidP="003F17FA"/>
    <w:p w14:paraId="2EE5A930" w14:textId="506703B2" w:rsidR="003F7CB2" w:rsidRDefault="003F7CB2" w:rsidP="003F7CB2">
      <w:pPr>
        <w:pStyle w:val="ListParagraph"/>
        <w:numPr>
          <w:ilvl w:val="0"/>
          <w:numId w:val="4"/>
        </w:numPr>
        <w:spacing w:after="120"/>
        <w:rPr>
          <w:smallCaps/>
        </w:rPr>
      </w:pPr>
      <w:r>
        <w:rPr>
          <w:smallCaps/>
        </w:rPr>
        <w:t>U.S.</w:t>
      </w:r>
      <w:r w:rsidRPr="00267210">
        <w:rPr>
          <w:smallCaps/>
        </w:rPr>
        <w:t xml:space="preserve"> Law Applicable to Trustees’</w:t>
      </w:r>
      <w:r>
        <w:rPr>
          <w:smallCaps/>
        </w:rPr>
        <w:t xml:space="preserve"> Mistakes</w:t>
      </w:r>
      <w:r w:rsidRPr="00267210">
        <w:rPr>
          <w:smallCaps/>
        </w:rPr>
        <w:t xml:space="preserve"> </w:t>
      </w:r>
    </w:p>
    <w:p w14:paraId="5DFAE06C" w14:textId="04C9F514" w:rsidR="00BF574A" w:rsidRDefault="00C10F79" w:rsidP="006835F7">
      <w:r>
        <w:t>Unlike English trust law, U.S. trust</w:t>
      </w:r>
      <w:r w:rsidR="006C268E">
        <w:t xml:space="preserve"> law does not </w:t>
      </w:r>
      <w:r w:rsidR="00EB16C0">
        <w:t xml:space="preserve">include a line of cases </w:t>
      </w:r>
      <w:r w:rsidR="006C268E">
        <w:t>permit</w:t>
      </w:r>
      <w:r w:rsidR="00EB16C0">
        <w:t>ting</w:t>
      </w:r>
      <w:r w:rsidR="006C268E">
        <w:t xml:space="preserve"> trustees to avoid decisions they have taken which are found to have unexpect</w:t>
      </w:r>
      <w:r w:rsidR="00EB16C0">
        <w:t>ed and undesirable consequences</w:t>
      </w:r>
      <w:r w:rsidR="006C268E">
        <w:t xml:space="preserve"> by alleging that they have themselves </w:t>
      </w:r>
      <w:r w:rsidR="00EB16C0">
        <w:t xml:space="preserve">reached those decisions by </w:t>
      </w:r>
      <w:r w:rsidR="006C268E">
        <w:t>exercis</w:t>
      </w:r>
      <w:r w:rsidR="00EB16C0">
        <w:t>ing</w:t>
      </w:r>
      <w:r w:rsidR="006C268E">
        <w:t xml:space="preserve"> a power or discretion in a manner infringing one or more duties they owe their beneficiaries.</w:t>
      </w:r>
      <w:r>
        <w:t xml:space="preserve"> </w:t>
      </w:r>
      <w:r w:rsidR="006835F7">
        <w:t>The U.S. law of trustees' mistakes is focused on more conventional challenges by beneficiaries to decisions taken by their trustees.</w:t>
      </w:r>
      <w:r w:rsidR="006835F7">
        <w:rPr>
          <w:rStyle w:val="FootnoteReference"/>
        </w:rPr>
        <w:footnoteReference w:id="30"/>
      </w:r>
      <w:r w:rsidR="006835F7">
        <w:t xml:space="preserve"> </w:t>
      </w:r>
      <w:r w:rsidR="006C268E">
        <w:t>U.S. law certainly contains doctrinal infrastructure which could</w:t>
      </w:r>
      <w:r w:rsidR="00EB16C0">
        <w:t xml:space="preserve"> potentially </w:t>
      </w:r>
      <w:r w:rsidR="006C268E">
        <w:t xml:space="preserve">serve to support </w:t>
      </w:r>
      <w:r w:rsidR="006C268E" w:rsidRPr="000B1209">
        <w:rPr>
          <w:i/>
          <w:iCs/>
        </w:rPr>
        <w:t>Hastings-Bass</w:t>
      </w:r>
      <w:r w:rsidR="006C268E">
        <w:t>-style claims:</w:t>
      </w:r>
      <w:r>
        <w:t xml:space="preserve"> </w:t>
      </w:r>
      <w:r w:rsidR="006C268E">
        <w:t>u</w:t>
      </w:r>
      <w:r w:rsidR="00132167">
        <w:t>nder U.S. law, "[a] court will not interfere with a trustee's exercise of a discretionary power when that exercise is reasonable and not based on an improper interpretation of the terms of the trust. … Court intervention may be obtained … to correct errors resulting from mistakes of interpretation</w:t>
      </w:r>
      <w:r w:rsidR="0083250F">
        <w:t>. … When judicial intervention is required, a court may … rescind the trustee's payment decisions, usually directing the trustee to recover amounts improperly distributed…</w:t>
      </w:r>
      <w:proofErr w:type="gramStart"/>
      <w:r w:rsidR="0083250F">
        <w:t>".</w:t>
      </w:r>
      <w:proofErr w:type="gramEnd"/>
      <w:r w:rsidR="004744E1" w:rsidRPr="00600695">
        <w:rPr>
          <w:vertAlign w:val="superscript"/>
        </w:rPr>
        <w:footnoteReference w:id="31"/>
      </w:r>
      <w:r w:rsidR="00632BFE">
        <w:t xml:space="preserve"> </w:t>
      </w:r>
      <w:r w:rsidR="006C268E">
        <w:t xml:space="preserve">Trustees </w:t>
      </w:r>
      <w:r w:rsidR="00E14EB0">
        <w:t xml:space="preserve">could potentially support an application for an order rescinding a disposition they have made </w:t>
      </w:r>
      <w:r w:rsidR="00EB16C0">
        <w:t>consequent on</w:t>
      </w:r>
      <w:r w:rsidR="00E14EB0">
        <w:t xml:space="preserve"> an exercise of a discretionary power with arguments describing their exercise of the power as unreasonable</w:t>
      </w:r>
      <w:r w:rsidR="000F3672">
        <w:t>,</w:t>
      </w:r>
      <w:r w:rsidR="00E14EB0">
        <w:t xml:space="preserve"> or </w:t>
      </w:r>
      <w:r w:rsidR="000F3672">
        <w:t xml:space="preserve">as </w:t>
      </w:r>
      <w:r w:rsidR="00E14EB0">
        <w:t xml:space="preserve">based on an improper interpretation of the terms of the trust. </w:t>
      </w:r>
      <w:r w:rsidR="00600695" w:rsidRPr="00600695">
        <w:t xml:space="preserve">Scott and </w:t>
      </w:r>
      <w:proofErr w:type="spellStart"/>
      <w:r w:rsidR="00600695" w:rsidRPr="00600695">
        <w:t>Ascher</w:t>
      </w:r>
      <w:proofErr w:type="spellEnd"/>
      <w:r w:rsidR="00600695">
        <w:t xml:space="preserve"> emphasize that the court may disturb decisions taken by trustees who fail to exercise a discretion they have been given, who exercise it in an unreasonable manner, as by tossing a coin, or who fail to inquire into beneficiaries' circumstances as necessary to properly exercise the discretion. They add that "</w:t>
      </w:r>
      <w:r w:rsidR="00600695" w:rsidRPr="00600695">
        <w:t xml:space="preserve">the </w:t>
      </w:r>
      <w:r w:rsidR="00600695" w:rsidRPr="00600695">
        <w:lastRenderedPageBreak/>
        <w:t>court may interpose if the trustee has failed to act because</w:t>
      </w:r>
      <w:r w:rsidR="00600695">
        <w:t xml:space="preserve"> </w:t>
      </w:r>
      <w:r w:rsidR="00600695" w:rsidRPr="00600695">
        <w:t>of a mistake of law or fact as to the extent of the trustee's powers or duties".</w:t>
      </w:r>
      <w:r w:rsidR="00600695">
        <w:rPr>
          <w:rStyle w:val="FootnoteReference"/>
        </w:rPr>
        <w:footnoteReference w:id="32"/>
      </w:r>
      <w:r w:rsidR="00600695">
        <w:t xml:space="preserve"> </w:t>
      </w:r>
    </w:p>
    <w:p w14:paraId="1AE2E2FB" w14:textId="77777777" w:rsidR="003F7CB2" w:rsidRPr="003F7CB2" w:rsidRDefault="003F7CB2" w:rsidP="003F7CB2"/>
    <w:p w14:paraId="1B05A4D9" w14:textId="7107FE9A" w:rsidR="003F7CB2" w:rsidRPr="00267210" w:rsidRDefault="003F7CB2" w:rsidP="003F7CB2">
      <w:pPr>
        <w:pStyle w:val="ListParagraph"/>
        <w:numPr>
          <w:ilvl w:val="0"/>
          <w:numId w:val="4"/>
        </w:numPr>
        <w:spacing w:after="120"/>
        <w:rPr>
          <w:smallCaps/>
        </w:rPr>
      </w:pPr>
      <w:r>
        <w:rPr>
          <w:smallCaps/>
        </w:rPr>
        <w:t xml:space="preserve">Trustees' Mistakes under Offshore Law </w:t>
      </w:r>
    </w:p>
    <w:p w14:paraId="323CF167" w14:textId="2E564631" w:rsidR="00800FB8" w:rsidRDefault="003F7CB2" w:rsidP="002F789D">
      <w:r>
        <w:t xml:space="preserve">The apparent reining-in of the English Rule in </w:t>
      </w:r>
      <w:r>
        <w:rPr>
          <w:i/>
          <w:iCs/>
        </w:rPr>
        <w:t xml:space="preserve">Pitt </w:t>
      </w:r>
      <w:r>
        <w:t>raised concerns among offshore jurisdictions. Several such jurisdictions have for years embraced the Rule, due to its obvious attractions for their trust management and estate planning industries.</w:t>
      </w:r>
      <w:r w:rsidR="002C3FE7">
        <w:rPr>
          <w:rStyle w:val="FootnoteReference"/>
        </w:rPr>
        <w:footnoteReference w:id="33"/>
      </w:r>
      <w:r>
        <w:t xml:space="preserve"> The Rule’s offshore versions, developed as part of the trust regimes of such permissive jurisdictions as Jersey and the Cayman Islands, extended its boundaries on numerous fronts, expanding its application, </w:t>
      </w:r>
      <w:r w:rsidRPr="00CD5186">
        <w:rPr>
          <w:i/>
          <w:iCs/>
        </w:rPr>
        <w:t>inter alia</w:t>
      </w:r>
      <w:r w:rsidR="002F789D">
        <w:t>, to</w:t>
      </w:r>
      <w:r>
        <w:t xml:space="preserve"> </w:t>
      </w:r>
      <w:r w:rsidR="002F789D">
        <w:t>dispositions</w:t>
      </w:r>
      <w:r>
        <w:t xml:space="preserve"> undertaken by settlor</w:t>
      </w:r>
      <w:r w:rsidR="002740C8">
        <w:t>s</w:t>
      </w:r>
      <w:r>
        <w:t xml:space="preserve"> rather than trustees,</w:t>
      </w:r>
      <w:r>
        <w:rPr>
          <w:rStyle w:val="FootnoteReference"/>
        </w:rPr>
        <w:footnoteReference w:id="34"/>
      </w:r>
      <w:r>
        <w:t xml:space="preserve"> to trustees' exercise</w:t>
      </w:r>
      <w:r w:rsidR="007E2DAB">
        <w:t>s of their administrative, ra</w:t>
      </w:r>
      <w:r>
        <w:t>ther than their dispositive, powers,</w:t>
      </w:r>
      <w:r>
        <w:rPr>
          <w:rStyle w:val="FootnoteReference"/>
        </w:rPr>
        <w:footnoteReference w:id="35"/>
      </w:r>
      <w:r>
        <w:t xml:space="preserve"> and to transactions undertaken by other </w:t>
      </w:r>
      <w:r w:rsidR="007E2DAB" w:rsidRPr="00CF13F1">
        <w:t>kinds</w:t>
      </w:r>
      <w:r w:rsidRPr="00CF13F1">
        <w:t xml:space="preserve"> of fiduciaries, such as company directors.</w:t>
      </w:r>
      <w:bookmarkStart w:id="9" w:name="_Ref432263675"/>
      <w:r w:rsidRPr="00CF13F1">
        <w:rPr>
          <w:rStyle w:val="FootnoteReference"/>
        </w:rPr>
        <w:footnoteReference w:id="36"/>
      </w:r>
      <w:bookmarkEnd w:id="9"/>
      <w:r w:rsidRPr="00CF13F1">
        <w:t xml:space="preserve"> </w:t>
      </w:r>
      <w:r w:rsidRPr="00CF13F1">
        <w:rPr>
          <w:rFonts w:hint="cs"/>
        </w:rPr>
        <w:t>S</w:t>
      </w:r>
      <w:r w:rsidRPr="00CF13F1">
        <w:t xml:space="preserve">hortly after the U.K. Supreme Court decision in </w:t>
      </w:r>
      <w:r w:rsidRPr="00CF13F1">
        <w:rPr>
          <w:i/>
          <w:iCs/>
        </w:rPr>
        <w:t>Pitt</w:t>
      </w:r>
      <w:r w:rsidRPr="00CF13F1">
        <w:t xml:space="preserve">, two offshore jurisdictions reacted to the vague state to which the Rule has been reduced by amending their trust legislation to include explicit </w:t>
      </w:r>
      <w:r w:rsidRPr="00CF13F1">
        <w:rPr>
          <w:i/>
          <w:iCs/>
        </w:rPr>
        <w:t>Hastings-Bass</w:t>
      </w:r>
      <w:r w:rsidRPr="00CF13F1">
        <w:t>-influenced mechanisms: Jersey did so in 2013,</w:t>
      </w:r>
      <w:r w:rsidRPr="00CF13F1">
        <w:rPr>
          <w:rStyle w:val="FootnoteReference"/>
        </w:rPr>
        <w:footnoteReference w:id="37"/>
      </w:r>
      <w:r w:rsidRPr="00CF13F1">
        <w:t xml:space="preserve"> and Bermuda in the following year.</w:t>
      </w:r>
      <w:r w:rsidRPr="00CF13F1">
        <w:rPr>
          <w:rStyle w:val="FootnoteReference"/>
        </w:rPr>
        <w:footnoteReference w:id="38"/>
      </w:r>
      <w:r w:rsidRPr="00CF13F1">
        <w:t xml:space="preserve"> </w:t>
      </w:r>
    </w:p>
    <w:p w14:paraId="6441A76F" w14:textId="6D487EEF" w:rsidR="00800FB8" w:rsidRDefault="007E2DAB" w:rsidP="005732B0">
      <w:pPr>
        <w:ind w:firstLine="720"/>
      </w:pPr>
      <w:r w:rsidRPr="00CF13F1">
        <w:t xml:space="preserve">The Jersey regime </w:t>
      </w:r>
      <w:r w:rsidR="00A92F3B" w:rsidRPr="00CF13F1">
        <w:t>gives the court</w:t>
      </w:r>
      <w:r w:rsidR="00DE69B1">
        <w:t xml:space="preserve"> large powers to hold voidable and correct</w:t>
      </w:r>
      <w:r w:rsidR="00A41219">
        <w:t>, based either</w:t>
      </w:r>
      <w:r w:rsidR="006B4AFB">
        <w:t xml:space="preserve"> on a broad conception of mistake </w:t>
      </w:r>
      <w:r w:rsidR="00A41219">
        <w:t>or on</w:t>
      </w:r>
      <w:r w:rsidR="006B4AFB">
        <w:t xml:space="preserve"> a </w:t>
      </w:r>
      <w:r w:rsidR="006B4AFB">
        <w:rPr>
          <w:i/>
          <w:iCs/>
        </w:rPr>
        <w:t>Hastings-Bass</w:t>
      </w:r>
      <w:r w:rsidR="006B4AFB">
        <w:t>-type concern with considerations taken into</w:t>
      </w:r>
      <w:r w:rsidR="00A41219">
        <w:t xml:space="preserve"> and omitted from</w:t>
      </w:r>
      <w:r w:rsidR="006B4AFB">
        <w:t xml:space="preserve"> account</w:t>
      </w:r>
      <w:r w:rsidR="00A41219">
        <w:t>,</w:t>
      </w:r>
      <w:r w:rsidR="00DE69B1">
        <w:t xml:space="preserve"> </w:t>
      </w:r>
      <w:r w:rsidR="00EF43FE">
        <w:t xml:space="preserve">non-testamentary </w:t>
      </w:r>
      <w:r w:rsidR="00DE69B1">
        <w:t>dispositions of property on trust</w:t>
      </w:r>
      <w:r w:rsidR="00A41219">
        <w:t xml:space="preserve"> and</w:t>
      </w:r>
      <w:r w:rsidR="00DE69B1">
        <w:t xml:space="preserve"> </w:t>
      </w:r>
      <w:r w:rsidR="00A41219">
        <w:t xml:space="preserve">power </w:t>
      </w:r>
      <w:r w:rsidR="00DE69B1">
        <w:t>exercises in relation t</w:t>
      </w:r>
      <w:r w:rsidR="00A41219">
        <w:t>o</w:t>
      </w:r>
      <w:r w:rsidR="00DE69B1">
        <w:t xml:space="preserve"> trust</w:t>
      </w:r>
      <w:r w:rsidR="00A41219">
        <w:t>s</w:t>
      </w:r>
      <w:r w:rsidR="00DE69B1">
        <w:t>.</w:t>
      </w:r>
      <w:r w:rsidR="00A92F3B" w:rsidRPr="00CF13F1">
        <w:t xml:space="preserve"> </w:t>
      </w:r>
      <w:r w:rsidR="00DE69B1">
        <w:t xml:space="preserve">The </w:t>
      </w:r>
      <w:r w:rsidR="00A41219">
        <w:t xml:space="preserve">Jersey (Trusts) Law </w:t>
      </w:r>
      <w:r w:rsidR="00DE69B1">
        <w:t xml:space="preserve">gives the court </w:t>
      </w:r>
      <w:r w:rsidR="00A92F3B" w:rsidRPr="00CF13F1">
        <w:t xml:space="preserve">a power to declare, on the </w:t>
      </w:r>
      <w:r w:rsidR="00A92F3B" w:rsidRPr="00CF13F1">
        <w:lastRenderedPageBreak/>
        <w:t>application of "any settlor or any of his or her personal representatives or successors in title",</w:t>
      </w:r>
      <w:r w:rsidR="00A92F3B" w:rsidRPr="00CF13F1">
        <w:rPr>
          <w:rStyle w:val="FootnoteReference"/>
        </w:rPr>
        <w:footnoteReference w:id="39"/>
      </w:r>
      <w:r w:rsidR="00A92F3B" w:rsidRPr="00CF13F1">
        <w:t xml:space="preserve"> that "a transfer</w:t>
      </w:r>
      <w:r w:rsidR="00FC2888">
        <w:t xml:space="preserve"> [inter </w:t>
      </w:r>
      <w:proofErr w:type="spellStart"/>
      <w:r w:rsidR="00FC2888">
        <w:t>vivos</w:t>
      </w:r>
      <w:proofErr w:type="spellEnd"/>
      <w:r w:rsidR="00FC2888">
        <w:t>]</w:t>
      </w:r>
      <w:r w:rsidR="00A92F3B" w:rsidRPr="00CF13F1">
        <w:t xml:space="preserve"> or other </w:t>
      </w:r>
      <w:r w:rsidR="00FC2888">
        <w:t xml:space="preserve">[non-testamentary] </w:t>
      </w:r>
      <w:r w:rsidR="00A92F3B" w:rsidRPr="00CF13F1">
        <w:t>disposition of property to a trust"</w:t>
      </w:r>
      <w:r w:rsidR="00CF13F1">
        <w:rPr>
          <w:rStyle w:val="FootnoteReference"/>
        </w:rPr>
        <w:footnoteReference w:id="40"/>
      </w:r>
      <w:r w:rsidR="00CF13F1" w:rsidRPr="00CF13F1">
        <w:t xml:space="preserve"> by a settlor or "a person exercise[</w:t>
      </w:r>
      <w:proofErr w:type="spellStart"/>
      <w:r w:rsidR="00CF13F1" w:rsidRPr="00CF13F1">
        <w:t>ing</w:t>
      </w:r>
      <w:proofErr w:type="spellEnd"/>
      <w:r w:rsidR="00CF13F1" w:rsidRPr="00CF13F1">
        <w:t>] a power</w:t>
      </w:r>
      <w:r w:rsidR="00FC2888">
        <w:t xml:space="preserve"> [or discretion]</w:t>
      </w:r>
      <w:r w:rsidR="00CF13F1" w:rsidRPr="00CF13F1">
        <w:t xml:space="preserve"> to transfer or make other disposition of property to a trust on behalf of a settlor"</w:t>
      </w:r>
      <w:r w:rsidR="00CF13F1">
        <w:rPr>
          <w:rStyle w:val="FootnoteReference"/>
        </w:rPr>
        <w:footnoteReference w:id="41"/>
      </w:r>
      <w:r w:rsidR="00CF13F1" w:rsidRPr="00CF13F1">
        <w:t xml:space="preserve"> is voidable and either has no effect from the time of its exercise, or </w:t>
      </w:r>
      <w:r w:rsidR="00CF13F1">
        <w:t xml:space="preserve">has </w:t>
      </w:r>
      <w:r w:rsidR="00CF13F1" w:rsidRPr="00CF13F1">
        <w:t>such effect as the court may determine.</w:t>
      </w:r>
      <w:r w:rsidR="00CF13F1">
        <w:rPr>
          <w:rStyle w:val="FootnoteReference"/>
        </w:rPr>
        <w:footnoteReference w:id="42"/>
      </w:r>
      <w:r w:rsidR="00CF13F1">
        <w:t xml:space="preserve"> </w:t>
      </w:r>
      <w:r w:rsidR="00CF13F1" w:rsidRPr="00CF13F1">
        <w:t xml:space="preserve">The court will exercise this power where the </w:t>
      </w:r>
      <w:proofErr w:type="spellStart"/>
      <w:r w:rsidR="00CF13F1" w:rsidRPr="00CF13F1">
        <w:t>disponor</w:t>
      </w:r>
      <w:proofErr w:type="spellEnd"/>
      <w:r w:rsidR="00CF13F1" w:rsidRPr="00CF13F1">
        <w:t xml:space="preserve"> "made a mistake in relation to the transfer or other disposition of property to a trust, would not have made that transfer or other disposition but for that mistake, and the mistake is of so serious a character as to render it just for the court to exercise its power"</w:t>
      </w:r>
      <w:r w:rsidR="00CF13F1">
        <w:t>.</w:t>
      </w:r>
      <w:r w:rsidR="00CF13F1">
        <w:rPr>
          <w:rStyle w:val="FootnoteReference"/>
        </w:rPr>
        <w:footnoteReference w:id="43"/>
      </w:r>
      <w:r w:rsidR="00C21D28">
        <w:t xml:space="preserve"> </w:t>
      </w:r>
      <w:r w:rsidR="00C21D28" w:rsidRPr="00C21D28">
        <w:t xml:space="preserve">The Jersey statute defines "mistake" to </w:t>
      </w:r>
      <w:r w:rsidR="005732B0">
        <w:t>embrace</w:t>
      </w:r>
      <w:r w:rsidR="00C21D28" w:rsidRPr="00C21D28">
        <w:t xml:space="preserve"> mistakes as to "the effects of, any consequences of, or any of the advantages to be gained by, a transfer or other disposition of property to a trust, or the exercise of a power over or in relation to a trust or trust property", mistakes "as to a fact existing either before or at the time of, a transfer or other disposition of property to a trust, or the exercise of a power over or in relation to a trust or trust property</w:t>
      </w:r>
      <w:r w:rsidR="005732B0">
        <w:t>"</w:t>
      </w:r>
      <w:r w:rsidR="00C21D28" w:rsidRPr="00C21D28">
        <w:t xml:space="preserve">; </w:t>
      </w:r>
      <w:r w:rsidR="005732B0">
        <w:t>and</w:t>
      </w:r>
      <w:r w:rsidR="00C21D28" w:rsidRPr="00C21D28">
        <w:t xml:space="preserve"> mistakes "of law including a law of a foreign jurisdiction", as well as other mistakes.</w:t>
      </w:r>
      <w:r w:rsidR="00C21D28" w:rsidRPr="00C21D28">
        <w:rPr>
          <w:rStyle w:val="FootnoteReference"/>
        </w:rPr>
        <w:footnoteReference w:id="44"/>
      </w:r>
      <w:r w:rsidR="00800FB8">
        <w:t xml:space="preserve"> Another provision gives the court a similar power to hold voidable, and as either of </w:t>
      </w:r>
      <w:r w:rsidR="00800FB8" w:rsidRPr="00CF13F1">
        <w:t xml:space="preserve">no effect from the time of its exercise, or </w:t>
      </w:r>
      <w:r w:rsidR="00800FB8">
        <w:t xml:space="preserve">of </w:t>
      </w:r>
      <w:r w:rsidR="00800FB8" w:rsidRPr="00CF13F1">
        <w:t>such effect as the court may determine</w:t>
      </w:r>
      <w:r w:rsidR="00800FB8">
        <w:t xml:space="preserve">, an exercise of a power </w:t>
      </w:r>
      <w:r w:rsidR="00800FB8">
        <w:rPr>
          <w:sz w:val="22"/>
          <w:szCs w:val="22"/>
        </w:rPr>
        <w:t>over, or in relation to, a trust, or trust property,</w:t>
      </w:r>
      <w:r w:rsidR="00800FB8">
        <w:t xml:space="preserve"> by a trustee or another powerholder, where that exercise was consequent on a similarly causative and serious mistake, subject to the same capacious definition of that term.</w:t>
      </w:r>
      <w:r w:rsidR="00800FB8">
        <w:rPr>
          <w:rStyle w:val="FootnoteReference"/>
        </w:rPr>
        <w:footnoteReference w:id="45"/>
      </w:r>
      <w:r w:rsidR="007F1C2A">
        <w:t xml:space="preserve"> The court can be </w:t>
      </w:r>
      <w:r w:rsidR="00DE69B1">
        <w:t>invited</w:t>
      </w:r>
      <w:r w:rsidR="007F1C2A">
        <w:t xml:space="preserve"> to exercise this power by the trustee or powerholder who </w:t>
      </w:r>
      <w:r w:rsidR="00DE69B1">
        <w:t xml:space="preserve">made the mistaken </w:t>
      </w:r>
      <w:r w:rsidR="007F1C2A">
        <w:t>exercise, by another trustee, by a beneficiary, a non-beneficiary enforcer, (where the trust includes any charitable trust, power or provision)</w:t>
      </w:r>
      <w:r w:rsidR="00DE69B1">
        <w:t xml:space="preserve"> by</w:t>
      </w:r>
      <w:r w:rsidR="007F1C2A">
        <w:t xml:space="preserve"> the Attorney General, or, with leave of the court, by any other person.</w:t>
      </w:r>
      <w:r w:rsidR="007F1C2A">
        <w:rPr>
          <w:rStyle w:val="FootnoteReference"/>
        </w:rPr>
        <w:footnoteReference w:id="46"/>
      </w:r>
    </w:p>
    <w:p w14:paraId="0A0B9744" w14:textId="4DC7A035" w:rsidR="007E2DAB" w:rsidRDefault="00DF6990" w:rsidP="00EF43FE">
      <w:pPr>
        <w:ind w:firstLine="720"/>
        <w:rPr>
          <w:rFonts w:hint="cs"/>
          <w:rtl/>
        </w:rPr>
      </w:pPr>
      <w:r>
        <w:lastRenderedPageBreak/>
        <w:t xml:space="preserve">The statute then gives the court a power to declare voidable and either of no effect from the time of </w:t>
      </w:r>
      <w:r w:rsidR="004669A1">
        <w:t>the</w:t>
      </w:r>
      <w:r>
        <w:t xml:space="preserve"> exercise, or of such effect as the court may determine, </w:t>
      </w:r>
      <w:r w:rsidR="004669A1">
        <w:rPr>
          <w:sz w:val="22"/>
          <w:szCs w:val="22"/>
        </w:rPr>
        <w:t>transfers or other dispositions of property to a trust made</w:t>
      </w:r>
      <w:r w:rsidR="00EF43FE">
        <w:rPr>
          <w:sz w:val="22"/>
          <w:szCs w:val="22"/>
        </w:rPr>
        <w:t>, other than by will,</w:t>
      </w:r>
      <w:r w:rsidR="004669A1">
        <w:rPr>
          <w:sz w:val="22"/>
          <w:szCs w:val="22"/>
        </w:rPr>
        <w:t xml:space="preserve"> by a settlor</w:t>
      </w:r>
      <w:r w:rsidR="004669A1">
        <w:t xml:space="preserve"> through a person who owes the settlor a fiduciary duty in relation to the disposition, where that person failed, in exercising his, her or its power, "</w:t>
      </w:r>
      <w:r w:rsidR="004669A1" w:rsidRPr="004669A1">
        <w:t xml:space="preserve">to take into account any relevant considerations or took into account irrelevant considerations; and would not have exercised the power, or would not have exercised the power in the way it was so exercised, but for that failure to take into account relevant considerations or that taking into account of </w:t>
      </w:r>
      <w:r w:rsidR="004669A1" w:rsidRPr="00C41595">
        <w:t>irrelevant considerations".</w:t>
      </w:r>
      <w:r w:rsidR="000A6F7A" w:rsidRPr="00C41595">
        <w:rPr>
          <w:rStyle w:val="FootnoteReference"/>
          <w:rtl/>
        </w:rPr>
        <w:footnoteReference w:id="47"/>
      </w:r>
      <w:r w:rsidR="00C41595" w:rsidRPr="00C41595">
        <w:t xml:space="preserve"> </w:t>
      </w:r>
      <w:r w:rsidR="006B4AFB">
        <w:t>Finally, the court is given</w:t>
      </w:r>
      <w:r w:rsidR="00DE69B1">
        <w:t xml:space="preserve"> a power to </w:t>
      </w:r>
      <w:r w:rsidR="006B4AFB">
        <w:t>declare</w:t>
      </w:r>
      <w:r w:rsidR="00DE69B1">
        <w:t xml:space="preserve"> voidable</w:t>
      </w:r>
      <w:r w:rsidR="006B4AFB">
        <w:t>, with similar results,</w:t>
      </w:r>
      <w:r w:rsidR="00DE69B1">
        <w:t xml:space="preserve"> </w:t>
      </w:r>
      <w:r w:rsidR="006B4AFB">
        <w:t xml:space="preserve">exercises of powers </w:t>
      </w:r>
      <w:r w:rsidR="00EF43FE">
        <w:t xml:space="preserve">in relation to a trust </w:t>
      </w:r>
      <w:r w:rsidR="006B4AFB">
        <w:t xml:space="preserve">by trustees and other powerholders </w:t>
      </w:r>
      <w:r w:rsidR="008C5589">
        <w:t>who "</w:t>
      </w:r>
      <w:r w:rsidR="008C5589" w:rsidRPr="006B4AFB">
        <w:t>owe</w:t>
      </w:r>
      <w:r w:rsidR="008C5589">
        <w:t>…</w:t>
      </w:r>
      <w:r w:rsidR="008C5589" w:rsidRPr="006B4AFB">
        <w:t xml:space="preserve"> a fiduciary duty to a beneficiary in relation to the exercise of the</w:t>
      </w:r>
      <w:r w:rsidR="008C5589">
        <w:t>…</w:t>
      </w:r>
      <w:r w:rsidR="008C5589" w:rsidRPr="006B4AFB">
        <w:t xml:space="preserve"> power", </w:t>
      </w:r>
      <w:r w:rsidR="006B4AFB" w:rsidRPr="006B4AFB">
        <w:t>where the exercise resulted from or was influenced by a failure to take into account relevant considerations or a taking into account of irrelevant considerations.</w:t>
      </w:r>
      <w:r w:rsidR="006B4AFB">
        <w:rPr>
          <w:rStyle w:val="FootnoteReference"/>
        </w:rPr>
        <w:footnoteReference w:id="48"/>
      </w:r>
      <w:r w:rsidR="008C5589">
        <w:t xml:space="preserve"> This power</w:t>
      </w:r>
      <w:r w:rsidR="00EF43FE">
        <w:t xml:space="preserve"> of the court</w:t>
      </w:r>
      <w:r w:rsidR="008C5589">
        <w:t xml:space="preserve"> is again exercisable at the invitation of the person who </w:t>
      </w:r>
      <w:r w:rsidR="00EF43FE">
        <w:t>exercised a</w:t>
      </w:r>
      <w:r w:rsidR="008C5589">
        <w:t xml:space="preserve"> power following a flawed decision making process, a</w:t>
      </w:r>
      <w:r w:rsidR="00EF43FE">
        <w:t>(</w:t>
      </w:r>
      <w:proofErr w:type="spellStart"/>
      <w:r w:rsidR="00EF43FE">
        <w:t>nother</w:t>
      </w:r>
      <w:proofErr w:type="spellEnd"/>
      <w:r w:rsidR="00EF43FE">
        <w:t>)</w:t>
      </w:r>
      <w:r w:rsidR="008C5589">
        <w:t xml:space="preserve"> trustee, beneficiary, enforcer, the Attorney General (where appropriate) and, with leave of the court, any other person.</w:t>
      </w:r>
      <w:r w:rsidR="006B4AFB" w:rsidRPr="006B4AFB">
        <w:t xml:space="preserve"> </w:t>
      </w:r>
      <w:r w:rsidR="00EF43FE">
        <w:t>As to both the</w:t>
      </w:r>
      <w:r w:rsidR="006B4AFB">
        <w:t xml:space="preserve"> last</w:t>
      </w:r>
      <w:r w:rsidR="00EF43FE">
        <w:t>-mentioned</w:t>
      </w:r>
      <w:r w:rsidR="006B4AFB">
        <w:t xml:space="preserve"> powers, t</w:t>
      </w:r>
      <w:r w:rsidR="006B4AFB" w:rsidRPr="00C41595">
        <w:t>he statute clarifies that "[</w:t>
      </w:r>
      <w:proofErr w:type="spellStart"/>
      <w:r w:rsidR="006B4AFB" w:rsidRPr="00C41595">
        <w:t>i</w:t>
      </w:r>
      <w:proofErr w:type="spellEnd"/>
      <w:r w:rsidR="006B4AFB" w:rsidRPr="00C41595">
        <w:t>]t does not matter whether or not [the flaw in the fiduciary's decision making] occurred as a result of any lack of care or other fault on the part of the person exercising a power, or on the part of any person giving advice in relation to the exercise of the power".</w:t>
      </w:r>
      <w:r w:rsidR="006B4AFB">
        <w:rPr>
          <w:rStyle w:val="FootnoteReference"/>
          <w:rtl/>
        </w:rPr>
        <w:footnoteReference w:id="49"/>
      </w:r>
    </w:p>
    <w:p w14:paraId="7E59F73A" w14:textId="46252689" w:rsidR="00EF43FE" w:rsidRDefault="002F789D" w:rsidP="008B07E1">
      <w:pPr>
        <w:ind w:firstLine="720"/>
      </w:pPr>
      <w:r w:rsidRPr="002F789D">
        <w:t xml:space="preserve">The </w:t>
      </w:r>
      <w:r>
        <w:t>Bermudian statutory mechanism is more narrowly tailored to circumstances where the</w:t>
      </w:r>
      <w:r w:rsidR="002C0C07">
        <w:t xml:space="preserve"> pre-</w:t>
      </w:r>
      <w:r w:rsidR="002C0C07">
        <w:rPr>
          <w:i/>
          <w:iCs/>
        </w:rPr>
        <w:t>Pitt</w:t>
      </w:r>
      <w:r w:rsidR="002C0C07">
        <w:t xml:space="preserve"> English</w:t>
      </w:r>
      <w:r>
        <w:t xml:space="preserve"> rule in </w:t>
      </w:r>
      <w:r>
        <w:rPr>
          <w:i/>
          <w:iCs/>
        </w:rPr>
        <w:t>Hastings-Bass</w:t>
      </w:r>
      <w:r w:rsidR="002C0C07">
        <w:t xml:space="preserve"> might</w:t>
      </w:r>
      <w:r w:rsidR="005732B0">
        <w:t xml:space="preserve"> have</w:t>
      </w:r>
      <w:r w:rsidR="002C0C07">
        <w:t xml:space="preserve"> appl</w:t>
      </w:r>
      <w:r w:rsidR="005732B0">
        <w:t>ied</w:t>
      </w:r>
      <w:r w:rsidR="002C0C07">
        <w:t>. According to the Bermudian statute, "[</w:t>
      </w:r>
      <w:proofErr w:type="spellStart"/>
      <w:r w:rsidR="002C0C07">
        <w:t>i</w:t>
      </w:r>
      <w:proofErr w:type="spellEnd"/>
      <w:r w:rsidR="002C0C07">
        <w:t>]</w:t>
      </w:r>
      <w:r w:rsidR="002C0C07" w:rsidRPr="002C0C07">
        <w:t>f the court, in relation to the exercise of a fiduciary power</w:t>
      </w:r>
      <w:r w:rsidR="00E434B1">
        <w:t xml:space="preserve"> [or discretion as </w:t>
      </w:r>
      <w:r w:rsidR="00E434B1" w:rsidRPr="00E434B1">
        <w:t>to how an obligation is performed</w:t>
      </w:r>
      <w:r w:rsidR="00E434B1">
        <w:t>]</w:t>
      </w:r>
      <w:r w:rsidR="002C0C07" w:rsidRPr="002C0C07">
        <w:t>, is satisfied on an application</w:t>
      </w:r>
      <w:r w:rsidR="002C0C07">
        <w:t xml:space="preserve"> … that</w:t>
      </w:r>
      <w:r w:rsidR="002C0C07" w:rsidRPr="002C0C07">
        <w:t xml:space="preserve"> in the exercise of the power, the person who holds the power did not take into account one or more considerations (whether of fact, law, or a combination of fact and law) that were relevant to the exercise of the power, or took into account one or more considerations that were irrelevant to the exercise of the power; and</w:t>
      </w:r>
      <w:r w:rsidR="002C0C07">
        <w:t xml:space="preserve"> </w:t>
      </w:r>
      <w:r w:rsidR="002C0C07" w:rsidRPr="002C0C07">
        <w:t>but for his failure to take into account one or more such relevant considerations or his having taken into account one or more such irrelevant considerations, the person who holds the power</w:t>
      </w:r>
      <w:r w:rsidR="002C0C07">
        <w:t xml:space="preserve"> </w:t>
      </w:r>
      <w:r w:rsidR="002C0C07" w:rsidRPr="002C0C07">
        <w:lastRenderedPageBreak/>
        <w:t>would not have exercised the power</w:t>
      </w:r>
      <w:r w:rsidR="002C0C07">
        <w:t xml:space="preserve">, </w:t>
      </w:r>
      <w:r w:rsidR="002C0C07" w:rsidRPr="002C0C07">
        <w:t>would have exercised the power, but on a different occasion to</w:t>
      </w:r>
      <w:r w:rsidR="002C0C07">
        <w:t xml:space="preserve"> that on which it was exercised,</w:t>
      </w:r>
      <w:r w:rsidR="002C0C07" w:rsidRPr="002C0C07">
        <w:t xml:space="preserve"> or</w:t>
      </w:r>
      <w:r w:rsidR="002C0C07">
        <w:t xml:space="preserve"> </w:t>
      </w:r>
      <w:r w:rsidR="002C0C07" w:rsidRPr="002C0C07">
        <w:t>would have exercised the power, but in a different manner to</w:t>
      </w:r>
      <w:r w:rsidR="002C0C07">
        <w:t xml:space="preserve"> that in which it was exercised … the court may </w:t>
      </w:r>
      <w:r w:rsidR="002C0C07" w:rsidRPr="002C0C07">
        <w:t>set aside the exercise of the power, either in whole or in part, and either unconditionally or on such terms and subject to such conditions as the court may think fit; and</w:t>
      </w:r>
      <w:r w:rsidR="002C0C07">
        <w:t xml:space="preserve"> </w:t>
      </w:r>
      <w:r w:rsidR="002C0C07" w:rsidRPr="002C0C07">
        <w:t>make such order consequent upon the setting aside of the exercise of the power as it thinks fit</w:t>
      </w:r>
      <w:r w:rsidR="002C0C07">
        <w:t>".</w:t>
      </w:r>
      <w:r w:rsidR="002C0C07">
        <w:rPr>
          <w:rStyle w:val="FootnoteReference"/>
        </w:rPr>
        <w:footnoteReference w:id="50"/>
      </w:r>
      <w:r w:rsidR="002C0C07">
        <w:t xml:space="preserve"> The statute makes clear that "[</w:t>
      </w:r>
      <w:proofErr w:type="spellStart"/>
      <w:r w:rsidR="002C0C07">
        <w:t>i</w:t>
      </w:r>
      <w:proofErr w:type="spellEnd"/>
      <w:r w:rsidR="002C0C07">
        <w:t>]</w:t>
      </w:r>
      <w:r w:rsidR="002C0C07" w:rsidRPr="002C0C07">
        <w:t>f and to the extent that the exercise of a power is set aside under this section, to that extent the exercise of the power shall be treated as never having occurred</w:t>
      </w:r>
      <w:r w:rsidR="002C0C07">
        <w:t>",</w:t>
      </w:r>
      <w:r w:rsidR="002C0C07">
        <w:rPr>
          <w:rStyle w:val="FootnoteReference"/>
        </w:rPr>
        <w:footnoteReference w:id="51"/>
      </w:r>
      <w:r w:rsidR="002C0C07">
        <w:t xml:space="preserve"> and that to have an exercise of a power set aside it is not necessary to allege or prove that the person exercising the power, or an adviser to such person, acted in breach of trust or duty.</w:t>
      </w:r>
      <w:r w:rsidR="002C0C07">
        <w:rPr>
          <w:rStyle w:val="FootnoteReference"/>
        </w:rPr>
        <w:footnoteReference w:id="52"/>
      </w:r>
      <w:r w:rsidR="00E434B1">
        <w:t xml:space="preserve"> Applications to have an exercise of a power set aside under </w:t>
      </w:r>
      <w:r w:rsidR="008B07E1">
        <w:t xml:space="preserve">the Bermudian </w:t>
      </w:r>
      <w:r w:rsidR="008B07E1">
        <w:rPr>
          <w:i/>
          <w:iCs/>
        </w:rPr>
        <w:t>Hastings-Bass</w:t>
      </w:r>
      <w:r w:rsidR="008B07E1">
        <w:t xml:space="preserve"> clone</w:t>
      </w:r>
      <w:r w:rsidR="00E434B1">
        <w:t xml:space="preserve"> may be made by </w:t>
      </w:r>
      <w:r w:rsidR="002C0C07">
        <w:t xml:space="preserve">the </w:t>
      </w:r>
      <w:r w:rsidR="00E434B1">
        <w:t xml:space="preserve">person who exercised the </w:t>
      </w:r>
      <w:r w:rsidR="002C0C07">
        <w:t>power, a trustee, a beneficiary, a person appointed to enforce a purpose trust, the Attorney General</w:t>
      </w:r>
      <w:r w:rsidR="00E434B1">
        <w:t xml:space="preserve"> (where the power is conferred "</w:t>
      </w:r>
      <w:r w:rsidR="00E434B1" w:rsidRPr="00E434B1">
        <w:t>in respect of a charitable trust or otherwise for a charitable purpose</w:t>
      </w:r>
      <w:r w:rsidR="00E434B1">
        <w:t xml:space="preserve">"), and with the leave of the court, </w:t>
      </w:r>
      <w:r w:rsidR="008B07E1">
        <w:t xml:space="preserve">by </w:t>
      </w:r>
      <w:r w:rsidR="00E434B1">
        <w:t>any other person.</w:t>
      </w:r>
      <w:r w:rsidR="00E434B1">
        <w:rPr>
          <w:rStyle w:val="FootnoteReference"/>
        </w:rPr>
        <w:footnoteReference w:id="53"/>
      </w:r>
    </w:p>
    <w:p w14:paraId="71B8FD71" w14:textId="17F7C15D" w:rsidR="003F7CB2" w:rsidRDefault="003F7CB2" w:rsidP="00C80B61">
      <w:pPr>
        <w:ind w:firstLine="720"/>
        <w:rPr>
          <w:rtl/>
        </w:rPr>
      </w:pPr>
      <w:r>
        <w:t xml:space="preserve">These recent offshore versions of the Rule arguably point out its future course, as some other jurisdictions are reported to similarly react to the contraction of the English Rule by </w:t>
      </w:r>
      <w:r w:rsidR="00C80B61">
        <w:t>preparing draft</w:t>
      </w:r>
      <w:r>
        <w:t xml:space="preserve"> legislation </w:t>
      </w:r>
      <w:r w:rsidR="00C80B61">
        <w:t xml:space="preserve">setting out </w:t>
      </w:r>
      <w:bookmarkStart w:id="10" w:name="_GoBack"/>
      <w:bookmarkEnd w:id="10"/>
      <w:r w:rsidR="00C80B61">
        <w:t>broad versions of</w:t>
      </w:r>
      <w:r>
        <w:t xml:space="preserve"> the Rule. These jurisdictions include the Isle of Man</w:t>
      </w:r>
      <w:r>
        <w:rPr>
          <w:rStyle w:val="FootnoteReference"/>
        </w:rPr>
        <w:footnoteReference w:id="54"/>
      </w:r>
      <w:r>
        <w:t xml:space="preserve"> and Scotland.</w:t>
      </w:r>
      <w:r>
        <w:rPr>
          <w:rStyle w:val="FootnoteReference"/>
        </w:rPr>
        <w:footnoteReference w:id="55"/>
      </w:r>
      <w:r w:rsidR="00DE2508">
        <w:t xml:space="preserve"> </w:t>
      </w:r>
    </w:p>
    <w:sectPr w:rsidR="003F7CB2" w:rsidSect="006D6296">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A558B6" w15:done="0"/>
  <w15:commentEx w15:paraId="5224B4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34BC9" w14:textId="77777777" w:rsidR="00180D46" w:rsidRDefault="00180D46" w:rsidP="007076D2">
      <w:pPr>
        <w:spacing w:line="240" w:lineRule="auto"/>
      </w:pPr>
      <w:r>
        <w:separator/>
      </w:r>
    </w:p>
  </w:endnote>
  <w:endnote w:type="continuationSeparator" w:id="0">
    <w:p w14:paraId="639BC9C4" w14:textId="77777777" w:rsidR="00180D46" w:rsidRDefault="00180D46" w:rsidP="00707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DD7B4" w14:textId="77777777" w:rsidR="00180D46" w:rsidRDefault="00180D46" w:rsidP="007076D2">
      <w:pPr>
        <w:spacing w:line="240" w:lineRule="auto"/>
      </w:pPr>
      <w:r>
        <w:separator/>
      </w:r>
    </w:p>
  </w:footnote>
  <w:footnote w:type="continuationSeparator" w:id="0">
    <w:p w14:paraId="4AF9943E" w14:textId="77777777" w:rsidR="00180D46" w:rsidRDefault="00180D46" w:rsidP="007076D2">
      <w:pPr>
        <w:spacing w:line="240" w:lineRule="auto"/>
      </w:pPr>
      <w:r>
        <w:continuationSeparator/>
      </w:r>
    </w:p>
  </w:footnote>
  <w:footnote w:id="1">
    <w:p w14:paraId="00CF4782" w14:textId="49CE69A7" w:rsidR="001012BC" w:rsidRDefault="001012BC" w:rsidP="00444865">
      <w:pPr>
        <w:pStyle w:val="FootnoteText"/>
        <w:spacing w:line="360" w:lineRule="auto"/>
      </w:pPr>
    </w:p>
  </w:footnote>
  <w:footnote w:id="2">
    <w:p w14:paraId="7151863B" w14:textId="5F3A5F9E" w:rsidR="001012BC" w:rsidRDefault="001012BC" w:rsidP="00444865">
      <w:pPr>
        <w:pStyle w:val="FootnoteText"/>
        <w:spacing w:line="360" w:lineRule="auto"/>
      </w:pPr>
      <w:r>
        <w:sym w:font="Symbol" w:char="F02A"/>
      </w:r>
      <w:r>
        <w:t xml:space="preserve"> Senior Lecturer, Faculty of Law, </w:t>
      </w:r>
      <w:r w:rsidR="00C80B61">
        <w:t>Hebrew University of Jerusalem; Martin Flynn Global Law Professor, University of Connecticut School of Law.</w:t>
      </w:r>
    </w:p>
    <w:p w14:paraId="5F976DF5" w14:textId="77777777" w:rsidR="001012BC" w:rsidRDefault="001012BC" w:rsidP="00444865">
      <w:pPr>
        <w:pStyle w:val="FootnoteText"/>
        <w:spacing w:line="360" w:lineRule="auto"/>
      </w:pPr>
      <w:r>
        <w:t xml:space="preserve">** </w:t>
      </w:r>
      <w:proofErr w:type="spellStart"/>
      <w:r>
        <w:t>Sichel</w:t>
      </w:r>
      <w:proofErr w:type="spellEnd"/>
      <w:r>
        <w:t xml:space="preserve">, </w:t>
      </w:r>
      <w:proofErr w:type="spellStart"/>
      <w:r>
        <w:t>Pedael</w:t>
      </w:r>
      <w:proofErr w:type="spellEnd"/>
      <w:r>
        <w:t xml:space="preserve"> &amp; Co.; Research Assistant, Accelerated LL.M. Program in Commercial and Corporate Law, Faculty of Law, Hebrew University of Jerusalem.</w:t>
      </w:r>
    </w:p>
    <w:p w14:paraId="4F6238D4" w14:textId="77777777" w:rsidR="001012BC" w:rsidRDefault="001012BC" w:rsidP="00E54390">
      <w:pPr>
        <w:pStyle w:val="FootnoteText"/>
        <w:spacing w:line="360" w:lineRule="auto"/>
      </w:pPr>
      <w:r>
        <w:rPr>
          <w:rStyle w:val="FootnoteReference"/>
        </w:rPr>
        <w:t>1</w:t>
      </w:r>
      <w:r>
        <w:t xml:space="preserve"> </w:t>
      </w:r>
      <w:proofErr w:type="gramStart"/>
      <w:r>
        <w:t xml:space="preserve">Trustee Act 2000, c. 29, </w:t>
      </w:r>
      <w:r>
        <w:rPr>
          <w:rFonts w:ascii="David" w:hAnsi="David"/>
        </w:rPr>
        <w:t>§§</w:t>
      </w:r>
      <w:r>
        <w:t xml:space="preserve"> 3, 8.</w:t>
      </w:r>
      <w:proofErr w:type="gramEnd"/>
    </w:p>
    <w:p w14:paraId="062AFB47" w14:textId="77777777" w:rsidR="001012BC" w:rsidRPr="00EB5EE6" w:rsidRDefault="001012BC" w:rsidP="00444865">
      <w:pPr>
        <w:pStyle w:val="FootnoteText"/>
        <w:spacing w:line="360" w:lineRule="auto"/>
      </w:pPr>
      <w:r>
        <w:rPr>
          <w:rStyle w:val="FootnoteReference"/>
        </w:rPr>
        <w:footnoteRef/>
      </w:r>
      <w:r>
        <w:t xml:space="preserve"> On the common law doctrine of mistake see </w:t>
      </w:r>
      <w:r w:rsidRPr="0051694A">
        <w:rPr>
          <w:smallCaps/>
        </w:rPr>
        <w:t>The Law of Contract</w:t>
      </w:r>
      <w:r>
        <w:t xml:space="preserve"> 633–690 (Andrew Grubb &amp; Michael </w:t>
      </w:r>
      <w:proofErr w:type="spellStart"/>
      <w:r>
        <w:t>Furmston</w:t>
      </w:r>
      <w:proofErr w:type="spellEnd"/>
      <w:r>
        <w:t xml:space="preserve"> ed., Butterworth, 1999); on the consequences of trustees' common law mistakes see </w:t>
      </w:r>
      <w:r w:rsidRPr="001E1898">
        <w:rPr>
          <w:i/>
          <w:iCs/>
        </w:rPr>
        <w:t>Donaldson v. Smith</w:t>
      </w:r>
      <w:r>
        <w:t xml:space="preserve">, [2006] All E.R. (D) 293, </w:t>
      </w:r>
      <w:r w:rsidRPr="00EB5EE6">
        <w:rPr>
          <w:rFonts w:cs="Times New Roman"/>
          <w:color w:val="252525"/>
          <w:shd w:val="clear" w:color="auto" w:fill="FFFFFF"/>
        </w:rPr>
        <w:t>¶</w:t>
      </w:r>
      <w:r>
        <w:rPr>
          <w:rFonts w:cs="Times New Roman"/>
          <w:color w:val="252525"/>
          <w:shd w:val="clear" w:color="auto" w:fill="FFFFFF"/>
        </w:rPr>
        <w:t xml:space="preserve"> 54; Richard Nolan &amp; Matthew </w:t>
      </w:r>
      <w:proofErr w:type="spellStart"/>
      <w:r>
        <w:rPr>
          <w:rFonts w:cs="Times New Roman"/>
          <w:color w:val="252525"/>
          <w:shd w:val="clear" w:color="auto" w:fill="FFFFFF"/>
        </w:rPr>
        <w:t>Conaglen</w:t>
      </w:r>
      <w:proofErr w:type="spellEnd"/>
      <w:r>
        <w:rPr>
          <w:rFonts w:cs="Times New Roman"/>
          <w:color w:val="252525"/>
          <w:shd w:val="clear" w:color="auto" w:fill="FFFFFF"/>
        </w:rPr>
        <w:t xml:space="preserve">, </w:t>
      </w:r>
      <w:r>
        <w:rPr>
          <w:rFonts w:cs="Times New Roman"/>
          <w:i/>
          <w:iCs/>
          <w:color w:val="252525"/>
          <w:shd w:val="clear" w:color="auto" w:fill="FFFFFF"/>
        </w:rPr>
        <w:t>Hastings-Bass and Third Parties</w:t>
      </w:r>
      <w:r>
        <w:rPr>
          <w:rFonts w:cs="Times New Roman"/>
          <w:color w:val="252525"/>
          <w:shd w:val="clear" w:color="auto" w:fill="FFFFFF"/>
        </w:rPr>
        <w:t xml:space="preserve">, 65 </w:t>
      </w:r>
      <w:r w:rsidRPr="00EB5EE6">
        <w:rPr>
          <w:rFonts w:cs="Times New Roman"/>
          <w:smallCaps/>
          <w:color w:val="252525"/>
          <w:shd w:val="clear" w:color="auto" w:fill="FFFFFF"/>
        </w:rPr>
        <w:t>Cambridge L.J.</w:t>
      </w:r>
      <w:r>
        <w:rPr>
          <w:rFonts w:cs="Times New Roman"/>
          <w:color w:val="252525"/>
          <w:shd w:val="clear" w:color="auto" w:fill="FFFFFF"/>
        </w:rPr>
        <w:t xml:space="preserve"> 499, 500 (2006).</w:t>
      </w:r>
    </w:p>
  </w:footnote>
  <w:footnote w:id="3">
    <w:p w14:paraId="0E38A98C" w14:textId="6112E0BE" w:rsidR="001012BC" w:rsidRPr="0078490A" w:rsidRDefault="001012BC" w:rsidP="00444865">
      <w:pPr>
        <w:pStyle w:val="FootnoteText"/>
        <w:spacing w:line="360" w:lineRule="auto"/>
      </w:pPr>
      <w:r>
        <w:rPr>
          <w:rStyle w:val="FootnoteReference"/>
        </w:rPr>
        <w:footnoteRef/>
      </w:r>
      <w:r>
        <w:t xml:space="preserve"> See Michael J. Ashdown, </w:t>
      </w:r>
      <w:r w:rsidRPr="0078490A">
        <w:rPr>
          <w:smallCaps/>
        </w:rPr>
        <w:t xml:space="preserve">Trustee Decision Making: The Rule in </w:t>
      </w:r>
      <w:r w:rsidRPr="0078490A">
        <w:rPr>
          <w:i/>
          <w:iCs/>
          <w:smallCaps/>
        </w:rPr>
        <w:t>Re Hastings-Bass</w:t>
      </w:r>
      <w:r>
        <w:t xml:space="preserve"> 183, 196 (2015). </w:t>
      </w:r>
    </w:p>
  </w:footnote>
  <w:footnote w:id="4">
    <w:p w14:paraId="39B40030" w14:textId="0A3E5D17" w:rsidR="001012BC" w:rsidRDefault="001012BC" w:rsidP="00444865">
      <w:pPr>
        <w:pStyle w:val="FootnoteText"/>
        <w:spacing w:line="360" w:lineRule="auto"/>
      </w:pPr>
      <w:r>
        <w:rPr>
          <w:rStyle w:val="FootnoteReference"/>
        </w:rPr>
        <w:footnoteRef/>
      </w:r>
      <w:r>
        <w:t xml:space="preserve"> </w:t>
      </w:r>
      <w:proofErr w:type="gramStart"/>
      <w:r>
        <w:t>(1897) 13 T.L.R. 399, 400 (CA).</w:t>
      </w:r>
      <w:proofErr w:type="gramEnd"/>
      <w:r>
        <w:t xml:space="preserve"> </w:t>
      </w:r>
    </w:p>
  </w:footnote>
  <w:footnote w:id="5">
    <w:p w14:paraId="6E738C9F" w14:textId="1E3B9AEA" w:rsidR="001012BC" w:rsidRPr="00EB1A76" w:rsidRDefault="001012BC" w:rsidP="00444865">
      <w:pPr>
        <w:pStyle w:val="FootnoteText"/>
        <w:spacing w:line="360" w:lineRule="auto"/>
      </w:pPr>
      <w:r>
        <w:rPr>
          <w:rStyle w:val="FootnoteReference"/>
        </w:rPr>
        <w:footnoteRef/>
      </w:r>
      <w:r>
        <w:t xml:space="preserve"> </w:t>
      </w:r>
      <w:proofErr w:type="gramStart"/>
      <w:r>
        <w:t>[1990] 1 W.L.R. 1304, 1309.</w:t>
      </w:r>
      <w:proofErr w:type="gramEnd"/>
      <w:r>
        <w:t xml:space="preserve"> Also see </w:t>
      </w:r>
      <w:proofErr w:type="gramStart"/>
      <w:r>
        <w:t>Ashdown,</w:t>
      </w:r>
      <w:proofErr w:type="gramEnd"/>
      <w:r>
        <w:t xml:space="preserve"> </w:t>
      </w:r>
      <w:r>
        <w:rPr>
          <w:i/>
          <w:iCs/>
        </w:rPr>
        <w:t>supra</w:t>
      </w:r>
      <w:r>
        <w:t xml:space="preserve"> note 3, at 184–185. </w:t>
      </w:r>
    </w:p>
  </w:footnote>
  <w:footnote w:id="6">
    <w:p w14:paraId="01CA3845" w14:textId="51AFF755" w:rsidR="001012BC" w:rsidRPr="000D6842" w:rsidRDefault="001012BC" w:rsidP="00444865">
      <w:pPr>
        <w:pStyle w:val="FootnoteText"/>
        <w:spacing w:line="360" w:lineRule="auto"/>
      </w:pPr>
      <w:r>
        <w:rPr>
          <w:rStyle w:val="FootnoteReference"/>
        </w:rPr>
        <w:footnoteRef/>
      </w:r>
      <w:r>
        <w:t xml:space="preserve"> [2013] UKSC 26 [hereinafter: </w:t>
      </w:r>
      <w:r>
        <w:rPr>
          <w:i/>
          <w:iCs/>
        </w:rPr>
        <w:t>Pitt</w:t>
      </w:r>
      <w:r>
        <w:t xml:space="preserve"> (SC)]. While the </w:t>
      </w:r>
      <w:r>
        <w:rPr>
          <w:i/>
          <w:iCs/>
        </w:rPr>
        <w:t xml:space="preserve">Pitt </w:t>
      </w:r>
      <w:r>
        <w:t>court declared that the legal transaction at issue</w:t>
      </w:r>
      <w:r w:rsidR="00E531C0">
        <w:t xml:space="preserve"> in that case</w:t>
      </w:r>
      <w:r>
        <w:t xml:space="preserve"> was in fact performed under a mistake of “sufficient gravity”, it did not provide useful criteria for identifying such mistakes, creating a pressing need for further clarification of the issue. See Francis Ng, </w:t>
      </w:r>
      <w:r w:rsidRPr="000D6842">
        <w:rPr>
          <w:i/>
          <w:iCs/>
        </w:rPr>
        <w:t>Pitt v</w:t>
      </w:r>
      <w:r>
        <w:rPr>
          <w:i/>
          <w:iCs/>
        </w:rPr>
        <w:t xml:space="preserve"> Holt and </w:t>
      </w:r>
      <w:proofErr w:type="spellStart"/>
      <w:r>
        <w:rPr>
          <w:i/>
          <w:iCs/>
        </w:rPr>
        <w:t>Futter</w:t>
      </w:r>
      <w:proofErr w:type="spellEnd"/>
      <w:r>
        <w:rPr>
          <w:i/>
          <w:iCs/>
        </w:rPr>
        <w:t xml:space="preserve"> v </w:t>
      </w:r>
      <w:proofErr w:type="spellStart"/>
      <w:r>
        <w:rPr>
          <w:i/>
          <w:iCs/>
        </w:rPr>
        <w:t>Futter</w:t>
      </w:r>
      <w:proofErr w:type="spellEnd"/>
      <w:r>
        <w:rPr>
          <w:i/>
          <w:iCs/>
        </w:rPr>
        <w:t>: the Rule in Hastings-Bass, Mistake, and Tax A</w:t>
      </w:r>
      <w:r w:rsidRPr="000D6842">
        <w:rPr>
          <w:i/>
          <w:iCs/>
        </w:rPr>
        <w:t>voidance</w:t>
      </w:r>
      <w:r>
        <w:t xml:space="preserve">, 4 </w:t>
      </w:r>
      <w:r w:rsidRPr="000D6842">
        <w:rPr>
          <w:smallCaps/>
        </w:rPr>
        <w:t xml:space="preserve">Brit. </w:t>
      </w:r>
      <w:proofErr w:type="gramStart"/>
      <w:r w:rsidRPr="000D6842">
        <w:rPr>
          <w:smallCaps/>
        </w:rPr>
        <w:t>Tax Rev.</w:t>
      </w:r>
      <w:r>
        <w:t xml:space="preserve"> 566, 575 (2013).</w:t>
      </w:r>
      <w:proofErr w:type="gramEnd"/>
      <w:r>
        <w:t xml:space="preserve"> </w:t>
      </w:r>
    </w:p>
  </w:footnote>
  <w:footnote w:id="7">
    <w:p w14:paraId="44FE8F23" w14:textId="746FED4A" w:rsidR="001012BC" w:rsidRDefault="001012BC" w:rsidP="00444865">
      <w:pPr>
        <w:pStyle w:val="FootnoteText"/>
        <w:spacing w:line="360" w:lineRule="auto"/>
        <w:rPr>
          <w:rtl/>
        </w:rPr>
      </w:pPr>
      <w:r>
        <w:rPr>
          <w:rStyle w:val="FootnoteReference"/>
        </w:rPr>
        <w:footnoteRef/>
      </w:r>
      <w:r>
        <w:t xml:space="preserve"> </w:t>
      </w:r>
      <w:proofErr w:type="gramStart"/>
      <w:r>
        <w:t>[1975] Ch. 25.</w:t>
      </w:r>
      <w:proofErr w:type="gramEnd"/>
      <w:r>
        <w:t xml:space="preserve"> </w:t>
      </w:r>
    </w:p>
  </w:footnote>
  <w:footnote w:id="8">
    <w:p w14:paraId="1F0A8693" w14:textId="015A3C57" w:rsidR="001012BC" w:rsidRPr="00442DD2" w:rsidRDefault="001012BC" w:rsidP="00444865">
      <w:pPr>
        <w:pStyle w:val="FootnoteText"/>
        <w:spacing w:line="360" w:lineRule="auto"/>
      </w:pPr>
      <w:r>
        <w:rPr>
          <w:rStyle w:val="FootnoteReference"/>
        </w:rPr>
        <w:footnoteRef/>
      </w:r>
      <w:r>
        <w:t xml:space="preserve"> </w:t>
      </w:r>
      <w:proofErr w:type="gramStart"/>
      <w:r>
        <w:rPr>
          <w:i/>
          <w:iCs/>
        </w:rPr>
        <w:t>supra</w:t>
      </w:r>
      <w:proofErr w:type="gramEnd"/>
      <w:r>
        <w:t xml:space="preserve"> note 6.  </w:t>
      </w:r>
    </w:p>
  </w:footnote>
  <w:footnote w:id="9">
    <w:p w14:paraId="66061C6C" w14:textId="257FADBB" w:rsidR="001012BC" w:rsidRPr="00E8457E" w:rsidRDefault="001012BC" w:rsidP="00CF13F1">
      <w:pPr>
        <w:pStyle w:val="FootnoteText"/>
        <w:spacing w:line="360" w:lineRule="auto"/>
        <w:rPr>
          <w:rFonts w:cs="Times New Roman"/>
          <w:color w:val="252525"/>
          <w:shd w:val="clear" w:color="auto" w:fill="FFFFFF"/>
        </w:rPr>
      </w:pPr>
      <w:r>
        <w:rPr>
          <w:rStyle w:val="FootnoteReference"/>
        </w:rPr>
        <w:footnoteRef/>
      </w:r>
      <w:r>
        <w:t xml:space="preserve"> A</w:t>
      </w:r>
      <w:r w:rsidRPr="00E8457E">
        <w:t xml:space="preserve">lthough </w:t>
      </w:r>
      <w:r>
        <w:t>usually exercised</w:t>
      </w:r>
      <w:r w:rsidRPr="00E8457E">
        <w:t xml:space="preserve"> </w:t>
      </w:r>
      <w:r>
        <w:t>in response to mistaken dispositions</w:t>
      </w:r>
      <w:r w:rsidRPr="00E8457E">
        <w:t xml:space="preserve"> </w:t>
      </w:r>
      <w:r>
        <w:t xml:space="preserve">by </w:t>
      </w:r>
      <w:r w:rsidRPr="00E8457E">
        <w:t>trustees, the Rule has been applied to</w:t>
      </w:r>
      <w:r>
        <w:t xml:space="preserve"> one</w:t>
      </w:r>
      <w:r w:rsidRPr="00E8457E">
        <w:t xml:space="preserve"> other </w:t>
      </w:r>
      <w:r>
        <w:t>type</w:t>
      </w:r>
      <w:r w:rsidRPr="00E8457E">
        <w:t xml:space="preserve"> of fiduciar</w:t>
      </w:r>
      <w:r>
        <w:t>y,</w:t>
      </w:r>
      <w:r w:rsidRPr="00E8457E">
        <w:t xml:space="preserve"> </w:t>
      </w:r>
      <w:r>
        <w:t>r</w:t>
      </w:r>
      <w:r w:rsidRPr="00E8457E">
        <w:t>eceivers appoi</w:t>
      </w:r>
      <w:r>
        <w:t xml:space="preserve">nted by the Court of Protection (see </w:t>
      </w:r>
      <w:r w:rsidR="00E531C0">
        <w:rPr>
          <w:i/>
          <w:iCs/>
        </w:rPr>
        <w:t>Pitt</w:t>
      </w:r>
      <w:r w:rsidR="00E531C0">
        <w:t xml:space="preserve"> (SC)</w:t>
      </w:r>
      <w:r>
        <w:t xml:space="preserve">, at </w:t>
      </w:r>
      <w:r w:rsidRPr="00EB5EE6">
        <w:rPr>
          <w:rFonts w:cs="Times New Roman"/>
          <w:color w:val="252525"/>
          <w:shd w:val="clear" w:color="auto" w:fill="FFFFFF"/>
        </w:rPr>
        <w:t>¶</w:t>
      </w:r>
      <w:r>
        <w:rPr>
          <w:rFonts w:cs="Times New Roman"/>
          <w:color w:val="252525"/>
          <w:shd w:val="clear" w:color="auto" w:fill="FFFFFF"/>
        </w:rPr>
        <w:t xml:space="preserve"> 2). The Rule’s application to other kinds of fiduciaries </w:t>
      </w:r>
      <w:r w:rsidRPr="00CB2026">
        <w:rPr>
          <w:rFonts w:cs="Times New Roman"/>
          <w:shd w:val="clear" w:color="auto" w:fill="FFFFFF"/>
        </w:rPr>
        <w:t>has</w:t>
      </w:r>
      <w:r>
        <w:rPr>
          <w:rFonts w:cs="Times New Roman"/>
          <w:color w:val="252525"/>
          <w:shd w:val="clear" w:color="auto" w:fill="FFFFFF"/>
        </w:rPr>
        <w:t xml:space="preserve"> been further extended in the offshore world: see </w:t>
      </w:r>
      <w:r>
        <w:rPr>
          <w:rFonts w:cs="Times New Roman"/>
          <w:i/>
          <w:iCs/>
          <w:color w:val="252525"/>
          <w:shd w:val="clear" w:color="auto" w:fill="FFFFFF"/>
        </w:rPr>
        <w:t>infra</w:t>
      </w:r>
      <w:r>
        <w:rPr>
          <w:rFonts w:cs="Times New Roman"/>
          <w:color w:val="252525"/>
          <w:shd w:val="clear" w:color="auto" w:fill="FFFFFF"/>
        </w:rPr>
        <w:t xml:space="preserve"> note </w:t>
      </w:r>
      <w:r w:rsidR="00CF13F1">
        <w:rPr>
          <w:rFonts w:cs="Times New Roman"/>
          <w:color w:val="252525"/>
          <w:shd w:val="clear" w:color="auto" w:fill="FFFFFF"/>
        </w:rPr>
        <w:t>34ff</w:t>
      </w:r>
      <w:r w:rsidR="00E531C0">
        <w:rPr>
          <w:rFonts w:cs="Times New Roman"/>
          <w:color w:val="252525"/>
          <w:shd w:val="clear" w:color="auto" w:fill="FFFFFF"/>
        </w:rPr>
        <w:t xml:space="preserve"> </w:t>
      </w:r>
      <w:r>
        <w:rPr>
          <w:rFonts w:cs="Times New Roman"/>
          <w:color w:val="252525"/>
          <w:shd w:val="clear" w:color="auto" w:fill="FFFFFF"/>
        </w:rPr>
        <w:t xml:space="preserve">and accompanying text. </w:t>
      </w:r>
    </w:p>
  </w:footnote>
  <w:footnote w:id="10">
    <w:p w14:paraId="5FB22BD3" w14:textId="7ACF2EF0" w:rsidR="001012BC" w:rsidRDefault="001012BC" w:rsidP="00444865">
      <w:pPr>
        <w:pStyle w:val="FootnoteText"/>
        <w:spacing w:line="360" w:lineRule="auto"/>
      </w:pPr>
      <w:r>
        <w:rPr>
          <w:rStyle w:val="FootnoteReference"/>
        </w:rPr>
        <w:footnoteRef/>
      </w:r>
      <w:r>
        <w:t xml:space="preserve"> </w:t>
      </w:r>
      <w:proofErr w:type="spellStart"/>
      <w:proofErr w:type="gramStart"/>
      <w:r w:rsidRPr="001E1898">
        <w:rPr>
          <w:i/>
          <w:iCs/>
        </w:rPr>
        <w:t>Sieff</w:t>
      </w:r>
      <w:proofErr w:type="spellEnd"/>
      <w:r w:rsidRPr="001E1898">
        <w:rPr>
          <w:i/>
          <w:iCs/>
        </w:rPr>
        <w:t xml:space="preserve"> v. Fox</w:t>
      </w:r>
      <w:r>
        <w:t>, [2005] EWHC 1312 (</w:t>
      </w:r>
      <w:proofErr w:type="spellStart"/>
      <w:r>
        <w:t>Ch</w:t>
      </w:r>
      <w:proofErr w:type="spellEnd"/>
      <w:r>
        <w:t>).</w:t>
      </w:r>
      <w:proofErr w:type="gramEnd"/>
      <w:r>
        <w:t xml:space="preserve"> </w:t>
      </w:r>
    </w:p>
  </w:footnote>
  <w:footnote w:id="11">
    <w:p w14:paraId="4ADBCF59" w14:textId="25D4A33B" w:rsidR="001012BC" w:rsidRPr="007E2885" w:rsidRDefault="001012BC" w:rsidP="00444865">
      <w:pPr>
        <w:pStyle w:val="FootnoteText"/>
        <w:spacing w:line="360" w:lineRule="auto"/>
      </w:pPr>
      <w:r>
        <w:rPr>
          <w:rStyle w:val="FootnoteReference"/>
        </w:rPr>
        <w:footnoteRef/>
      </w:r>
      <w:r>
        <w:t xml:space="preserve"> Mistake has been explicitly rejected as a possible doctrinal basis for the Rule in </w:t>
      </w:r>
      <w:proofErr w:type="spellStart"/>
      <w:r w:rsidRPr="00E531C0">
        <w:rPr>
          <w:i/>
          <w:iCs/>
        </w:rPr>
        <w:t>Futter</w:t>
      </w:r>
      <w:proofErr w:type="spellEnd"/>
      <w:r w:rsidRPr="00E531C0">
        <w:rPr>
          <w:i/>
          <w:iCs/>
        </w:rPr>
        <w:t xml:space="preserve"> v. </w:t>
      </w:r>
      <w:proofErr w:type="spellStart"/>
      <w:r w:rsidRPr="00E531C0">
        <w:rPr>
          <w:i/>
          <w:iCs/>
        </w:rPr>
        <w:t>Futter</w:t>
      </w:r>
      <w:proofErr w:type="spellEnd"/>
      <w:r>
        <w:t>, [2010] EWHC 449 (</w:t>
      </w:r>
      <w:proofErr w:type="spellStart"/>
      <w:r>
        <w:t>Ch</w:t>
      </w:r>
      <w:proofErr w:type="spellEnd"/>
      <w:r>
        <w:t xml:space="preserve">), </w:t>
      </w:r>
      <w:r w:rsidRPr="00EB5EE6">
        <w:rPr>
          <w:rFonts w:cs="Times New Roman"/>
          <w:color w:val="252525"/>
          <w:shd w:val="clear" w:color="auto" w:fill="FFFFFF"/>
        </w:rPr>
        <w:t>¶</w:t>
      </w:r>
      <w:r>
        <w:rPr>
          <w:rFonts w:cs="Times New Roman"/>
          <w:color w:val="252525"/>
          <w:shd w:val="clear" w:color="auto" w:fill="FFFFFF"/>
        </w:rPr>
        <w:t xml:space="preserve"> 21–22.</w:t>
      </w:r>
      <w:r>
        <w:t xml:space="preserve"> See also Hang Wu</w:t>
      </w:r>
      <w:r w:rsidRPr="008B35C2">
        <w:t xml:space="preserve"> </w:t>
      </w:r>
      <w:r>
        <w:t xml:space="preserve">Tang, </w:t>
      </w:r>
      <w:proofErr w:type="spellStart"/>
      <w:r>
        <w:rPr>
          <w:i/>
          <w:iCs/>
        </w:rPr>
        <w:t>Rationalising</w:t>
      </w:r>
      <w:proofErr w:type="spellEnd"/>
      <w:r>
        <w:rPr>
          <w:i/>
          <w:iCs/>
        </w:rPr>
        <w:t xml:space="preserve"> Re Hastings-Ba</w:t>
      </w:r>
      <w:r w:rsidR="00E531C0">
        <w:rPr>
          <w:i/>
          <w:iCs/>
        </w:rPr>
        <w:t>ss: A Duty to Act on Proper Base</w:t>
      </w:r>
      <w:r>
        <w:rPr>
          <w:i/>
          <w:iCs/>
        </w:rPr>
        <w:t>s</w:t>
      </w:r>
      <w:r>
        <w:t xml:space="preserve">, 21 </w:t>
      </w:r>
      <w:r w:rsidRPr="00AE5303">
        <w:rPr>
          <w:smallCaps/>
        </w:rPr>
        <w:t>Trust L. Int’l</w:t>
      </w:r>
      <w:r>
        <w:t xml:space="preserve"> 62, 70–73 (2007).</w:t>
      </w:r>
    </w:p>
  </w:footnote>
  <w:footnote w:id="12">
    <w:p w14:paraId="4DBF8DC8" w14:textId="359C89E5" w:rsidR="001012BC" w:rsidRPr="00442DD2" w:rsidRDefault="001012BC" w:rsidP="00444865">
      <w:pPr>
        <w:pStyle w:val="FootnoteText"/>
        <w:spacing w:line="360" w:lineRule="auto"/>
      </w:pPr>
      <w:r>
        <w:rPr>
          <w:rStyle w:val="FootnoteReference"/>
        </w:rPr>
        <w:footnoteRef/>
      </w:r>
      <w:r>
        <w:t xml:space="preserve"> See Walker J.’s remark on that matter in </w:t>
      </w:r>
      <w:r>
        <w:rPr>
          <w:i/>
          <w:iCs/>
        </w:rPr>
        <w:t xml:space="preserve">Pitt </w:t>
      </w:r>
      <w:r>
        <w:t>(SC)</w:t>
      </w:r>
      <w:proofErr w:type="gramStart"/>
      <w:r>
        <w:t>,</w:t>
      </w:r>
      <w:proofErr w:type="gramEnd"/>
      <w:r>
        <w:t xml:space="preserve"> </w:t>
      </w:r>
      <w:r>
        <w:rPr>
          <w:i/>
          <w:iCs/>
        </w:rPr>
        <w:t>supra</w:t>
      </w:r>
      <w:r>
        <w:t xml:space="preserve"> note 8, at </w:t>
      </w:r>
      <w:r w:rsidRPr="00EB5EE6">
        <w:rPr>
          <w:rFonts w:cs="Times New Roman"/>
          <w:color w:val="252525"/>
          <w:shd w:val="clear" w:color="auto" w:fill="FFFFFF"/>
        </w:rPr>
        <w:t>¶</w:t>
      </w:r>
      <w:r>
        <w:rPr>
          <w:rFonts w:cs="Times New Roman"/>
          <w:color w:val="252525"/>
          <w:shd w:val="clear" w:color="auto" w:fill="FFFFFF"/>
        </w:rPr>
        <w:t xml:space="preserve"> 135. </w:t>
      </w:r>
    </w:p>
  </w:footnote>
  <w:footnote w:id="13">
    <w:p w14:paraId="0C87461E" w14:textId="0AB71C36" w:rsidR="001012BC" w:rsidRPr="00CC4FB6" w:rsidRDefault="001012BC" w:rsidP="00444865">
      <w:pPr>
        <w:pStyle w:val="FootnoteText"/>
        <w:spacing w:line="360" w:lineRule="auto"/>
      </w:pPr>
      <w:r>
        <w:rPr>
          <w:rStyle w:val="FootnoteReference"/>
        </w:rPr>
        <w:footnoteRef/>
      </w:r>
      <w:r>
        <w:t xml:space="preserve"> See </w:t>
      </w:r>
      <w:r>
        <w:rPr>
          <w:i/>
          <w:iCs/>
        </w:rPr>
        <w:t>Re Hastings-Bass</w:t>
      </w:r>
      <w:r>
        <w:t xml:space="preserve">, </w:t>
      </w:r>
      <w:r>
        <w:rPr>
          <w:i/>
          <w:iCs/>
        </w:rPr>
        <w:t>supra</w:t>
      </w:r>
      <w:r>
        <w:t xml:space="preserve"> note 7; </w:t>
      </w:r>
      <w:r w:rsidRPr="001E1898">
        <w:rPr>
          <w:i/>
          <w:iCs/>
        </w:rPr>
        <w:t xml:space="preserve">Green v. </w:t>
      </w:r>
      <w:proofErr w:type="spellStart"/>
      <w:r w:rsidRPr="001E1898">
        <w:rPr>
          <w:i/>
          <w:iCs/>
        </w:rPr>
        <w:t>Cobham</w:t>
      </w:r>
      <w:proofErr w:type="spellEnd"/>
      <w:r>
        <w:t xml:space="preserve">, [2002] S.T.C. 820; </w:t>
      </w:r>
      <w:r w:rsidRPr="001E1898">
        <w:rPr>
          <w:i/>
          <w:iCs/>
        </w:rPr>
        <w:t>Abacus Trust Co. (Is. Man) Ltd. v. N.S.P.C.C.</w:t>
      </w:r>
      <w:r>
        <w:t xml:space="preserve">, [2001] W.T.L.R. 953; </w:t>
      </w:r>
      <w:r w:rsidRPr="001E1898">
        <w:rPr>
          <w:i/>
          <w:iCs/>
        </w:rPr>
        <w:t>Burrell v. Burrell</w:t>
      </w:r>
      <w:r>
        <w:t>, [2005] EWHC 245 (</w:t>
      </w:r>
      <w:proofErr w:type="spellStart"/>
      <w:r>
        <w:t>Ch</w:t>
      </w:r>
      <w:proofErr w:type="spellEnd"/>
      <w:r>
        <w:t xml:space="preserve">); </w:t>
      </w:r>
      <w:proofErr w:type="spellStart"/>
      <w:r>
        <w:rPr>
          <w:i/>
          <w:iCs/>
        </w:rPr>
        <w:t>Sieff</w:t>
      </w:r>
      <w:proofErr w:type="spellEnd"/>
      <w:r>
        <w:t xml:space="preserve">, </w:t>
      </w:r>
      <w:r>
        <w:rPr>
          <w:i/>
          <w:iCs/>
        </w:rPr>
        <w:t>supra</w:t>
      </w:r>
      <w:r>
        <w:t xml:space="preserve"> note 10; </w:t>
      </w:r>
      <w:r w:rsidRPr="001E1898">
        <w:rPr>
          <w:i/>
          <w:iCs/>
        </w:rPr>
        <w:t>Pitt v. Holt</w:t>
      </w:r>
      <w:r>
        <w:t>, [2010] EWHC 45 (</w:t>
      </w:r>
      <w:proofErr w:type="spellStart"/>
      <w:r>
        <w:t>Ch</w:t>
      </w:r>
      <w:proofErr w:type="spellEnd"/>
      <w:r>
        <w:t xml:space="preserve">); </w:t>
      </w:r>
      <w:proofErr w:type="spellStart"/>
      <w:r w:rsidRPr="002E63D1">
        <w:rPr>
          <w:i/>
          <w:iCs/>
        </w:rPr>
        <w:t>Futter</w:t>
      </w:r>
      <w:proofErr w:type="spellEnd"/>
      <w:r>
        <w:t xml:space="preserve">, </w:t>
      </w:r>
      <w:r>
        <w:rPr>
          <w:i/>
          <w:iCs/>
        </w:rPr>
        <w:t>supra</w:t>
      </w:r>
      <w:r>
        <w:t xml:space="preserve"> note 11.  </w:t>
      </w:r>
    </w:p>
  </w:footnote>
  <w:footnote w:id="14">
    <w:p w14:paraId="071FEFAF" w14:textId="791FD7E3" w:rsidR="001012BC" w:rsidRDefault="001012BC" w:rsidP="00444865">
      <w:pPr>
        <w:pStyle w:val="FootnoteText"/>
        <w:spacing w:line="360" w:lineRule="auto"/>
      </w:pPr>
      <w:r>
        <w:rPr>
          <w:rStyle w:val="FootnoteReference"/>
        </w:rPr>
        <w:footnoteRef/>
      </w:r>
      <w:r>
        <w:t xml:space="preserve"> </w:t>
      </w:r>
      <w:proofErr w:type="gramStart"/>
      <w:r w:rsidRPr="001E1898">
        <w:rPr>
          <w:i/>
          <w:iCs/>
        </w:rPr>
        <w:t>AMP (UK) plc v. Barker</w:t>
      </w:r>
      <w:r>
        <w:t xml:space="preserve">, [2001] W.T.L.R. 1237; </w:t>
      </w:r>
      <w:r w:rsidRPr="001E1898">
        <w:rPr>
          <w:i/>
          <w:iCs/>
        </w:rPr>
        <w:t>Hearn v. Younger</w:t>
      </w:r>
      <w:r>
        <w:t>, [2002] EWHC 964 (</w:t>
      </w:r>
      <w:proofErr w:type="spellStart"/>
      <w:r>
        <w:t>Ch</w:t>
      </w:r>
      <w:proofErr w:type="spellEnd"/>
      <w:r>
        <w:t xml:space="preserve">); </w:t>
      </w:r>
      <w:r w:rsidRPr="001E1898">
        <w:rPr>
          <w:i/>
          <w:iCs/>
        </w:rPr>
        <w:t>Gallaher Ltd. v. Gallaher Pensions Ltd.</w:t>
      </w:r>
      <w:r>
        <w:t>, [2005] EWHC 42 (</w:t>
      </w:r>
      <w:proofErr w:type="spellStart"/>
      <w:r>
        <w:t>Ch</w:t>
      </w:r>
      <w:proofErr w:type="spellEnd"/>
      <w:r>
        <w:t>).</w:t>
      </w:r>
      <w:proofErr w:type="gramEnd"/>
      <w:r>
        <w:t xml:space="preserve"> </w:t>
      </w:r>
    </w:p>
  </w:footnote>
  <w:footnote w:id="15">
    <w:p w14:paraId="43D45870" w14:textId="31BB19D6" w:rsidR="001012BC" w:rsidRPr="00723D54" w:rsidRDefault="001012BC" w:rsidP="00444865">
      <w:pPr>
        <w:pStyle w:val="FootnoteText"/>
        <w:spacing w:line="360" w:lineRule="auto"/>
      </w:pPr>
      <w:r>
        <w:rPr>
          <w:rStyle w:val="FootnoteReference"/>
        </w:rPr>
        <w:footnoteRef/>
      </w:r>
      <w:r>
        <w:t xml:space="preserve"> </w:t>
      </w:r>
      <w:r>
        <w:rPr>
          <w:i/>
          <w:iCs/>
        </w:rPr>
        <w:t>Abacus v. N.S.P.C.C</w:t>
      </w:r>
      <w:r>
        <w:t xml:space="preserve">, </w:t>
      </w:r>
      <w:r>
        <w:rPr>
          <w:i/>
          <w:iCs/>
        </w:rPr>
        <w:t>supra</w:t>
      </w:r>
      <w:r>
        <w:t xml:space="preserve"> note 13.</w:t>
      </w:r>
    </w:p>
  </w:footnote>
  <w:footnote w:id="16">
    <w:p w14:paraId="4178706C" w14:textId="4CACB089" w:rsidR="001012BC" w:rsidRPr="005A22EA" w:rsidRDefault="001012BC" w:rsidP="00444865">
      <w:pPr>
        <w:pStyle w:val="FootnoteText"/>
        <w:spacing w:line="360" w:lineRule="auto"/>
      </w:pPr>
      <w:r>
        <w:rPr>
          <w:rStyle w:val="FootnoteReference"/>
        </w:rPr>
        <w:footnoteRef/>
      </w:r>
      <w:r>
        <w:t xml:space="preserve"> </w:t>
      </w:r>
      <w:proofErr w:type="gramStart"/>
      <w:r w:rsidRPr="001E1898">
        <w:rPr>
          <w:i/>
          <w:iCs/>
        </w:rPr>
        <w:t>Abacus v. Barr</w:t>
      </w:r>
      <w:r>
        <w:t>, [2003] EWHC 114 (</w:t>
      </w:r>
      <w:proofErr w:type="spellStart"/>
      <w:r>
        <w:t>Ch</w:t>
      </w:r>
      <w:proofErr w:type="spellEnd"/>
      <w:r>
        <w:t>).</w:t>
      </w:r>
      <w:proofErr w:type="gramEnd"/>
      <w:r>
        <w:t xml:space="preserve"> </w:t>
      </w:r>
    </w:p>
  </w:footnote>
  <w:footnote w:id="17">
    <w:p w14:paraId="766B7E93" w14:textId="61B85A1A" w:rsidR="001012BC" w:rsidRPr="006E72C8" w:rsidRDefault="001012BC" w:rsidP="00444865">
      <w:pPr>
        <w:pStyle w:val="FootnoteText"/>
        <w:spacing w:line="360" w:lineRule="auto"/>
      </w:pPr>
      <w:r>
        <w:rPr>
          <w:rStyle w:val="FootnoteReference"/>
        </w:rPr>
        <w:footnoteRef/>
      </w:r>
      <w:r>
        <w:t xml:space="preserve"> See e.g. Lord Neuberger, </w:t>
      </w:r>
      <w:r>
        <w:rPr>
          <w:i/>
          <w:iCs/>
        </w:rPr>
        <w:t>Aspects of the Law of Mistake: Re Hastings-Bass</w:t>
      </w:r>
      <w:r>
        <w:t xml:space="preserve">, 15 </w:t>
      </w:r>
      <w:r w:rsidRPr="006E72C8">
        <w:rPr>
          <w:smallCaps/>
        </w:rPr>
        <w:t>Trusts &amp; Trustees</w:t>
      </w:r>
      <w:r>
        <w:t xml:space="preserve"> 189 (2009). </w:t>
      </w:r>
    </w:p>
  </w:footnote>
  <w:footnote w:id="18">
    <w:p w14:paraId="2E48583A" w14:textId="6D406B55" w:rsidR="001012BC" w:rsidRPr="00E37FCC" w:rsidRDefault="001012BC" w:rsidP="00D21CB6">
      <w:pPr>
        <w:pStyle w:val="FootnoteText"/>
        <w:spacing w:line="360" w:lineRule="auto"/>
      </w:pPr>
      <w:r>
        <w:rPr>
          <w:rStyle w:val="FootnoteReference"/>
        </w:rPr>
        <w:footnoteRef/>
      </w:r>
      <w:r>
        <w:t xml:space="preserve"> On a single occasion, the Rule has also been applied </w:t>
      </w:r>
      <w:r w:rsidR="00D21CB6">
        <w:t>to</w:t>
      </w:r>
      <w:r>
        <w:t xml:space="preserve"> transactions </w:t>
      </w:r>
      <w:r w:rsidR="00D21CB6">
        <w:t>undertaken by</w:t>
      </w:r>
      <w:r>
        <w:t xml:space="preserve"> a receiver appointed by the Court of Protection. See </w:t>
      </w:r>
      <w:r w:rsidRPr="001E1898">
        <w:rPr>
          <w:i/>
          <w:iCs/>
        </w:rPr>
        <w:t>Pitt</w:t>
      </w:r>
      <w:r>
        <w:t xml:space="preserve"> (SC)</w:t>
      </w:r>
      <w:proofErr w:type="gramStart"/>
      <w:r>
        <w:t>,</w:t>
      </w:r>
      <w:proofErr w:type="gramEnd"/>
      <w:r>
        <w:t xml:space="preserve"> </w:t>
      </w:r>
      <w:r>
        <w:rPr>
          <w:i/>
          <w:iCs/>
        </w:rPr>
        <w:t>supra</w:t>
      </w:r>
      <w:r>
        <w:t xml:space="preserve"> note 6, at </w:t>
      </w:r>
      <w:r w:rsidRPr="00EB5EE6">
        <w:rPr>
          <w:rFonts w:cs="Times New Roman"/>
          <w:color w:val="252525"/>
          <w:shd w:val="clear" w:color="auto" w:fill="FFFFFF"/>
        </w:rPr>
        <w:t>¶</w:t>
      </w:r>
      <w:r>
        <w:rPr>
          <w:rFonts w:cs="Times New Roman"/>
          <w:color w:val="252525"/>
          <w:shd w:val="clear" w:color="auto" w:fill="FFFFFF"/>
        </w:rPr>
        <w:t xml:space="preserve"> 2. </w:t>
      </w:r>
    </w:p>
  </w:footnote>
  <w:footnote w:id="19">
    <w:p w14:paraId="4017BFD2" w14:textId="71840E1D" w:rsidR="001012BC" w:rsidRPr="00FB1E2E" w:rsidRDefault="001012BC" w:rsidP="00444865">
      <w:pPr>
        <w:pStyle w:val="FootnoteText"/>
        <w:spacing w:line="360" w:lineRule="auto"/>
      </w:pPr>
      <w:r>
        <w:rPr>
          <w:rStyle w:val="FootnoteReference"/>
        </w:rPr>
        <w:footnoteRef/>
      </w:r>
      <w:r>
        <w:t xml:space="preserve"> </w:t>
      </w:r>
      <w:r w:rsidRPr="001E1898">
        <w:rPr>
          <w:i/>
          <w:iCs/>
        </w:rPr>
        <w:t>Pitt v. Holt</w:t>
      </w:r>
      <w:r>
        <w:t xml:space="preserve">, [2011] EWCA </w:t>
      </w:r>
      <w:proofErr w:type="spellStart"/>
      <w:r>
        <w:t>Civ</w:t>
      </w:r>
      <w:proofErr w:type="spellEnd"/>
      <w:r>
        <w:t xml:space="preserve"> 197, </w:t>
      </w:r>
      <w:proofErr w:type="gramStart"/>
      <w:r w:rsidRPr="00EB5EE6">
        <w:rPr>
          <w:rFonts w:cs="Times New Roman"/>
          <w:color w:val="252525"/>
          <w:shd w:val="clear" w:color="auto" w:fill="FFFFFF"/>
        </w:rPr>
        <w:t>¶</w:t>
      </w:r>
      <w:proofErr w:type="gramEnd"/>
      <w:r>
        <w:rPr>
          <w:rFonts w:cs="Times New Roman"/>
          <w:color w:val="252525"/>
          <w:shd w:val="clear" w:color="auto" w:fill="FFFFFF"/>
        </w:rPr>
        <w:t xml:space="preserve"> 96 [hereinafter: </w:t>
      </w:r>
      <w:r>
        <w:rPr>
          <w:rFonts w:cs="Times New Roman"/>
          <w:i/>
          <w:iCs/>
          <w:color w:val="252525"/>
          <w:shd w:val="clear" w:color="auto" w:fill="FFFFFF"/>
        </w:rPr>
        <w:t>Pitt</w:t>
      </w:r>
      <w:r>
        <w:rPr>
          <w:rFonts w:cs="Times New Roman"/>
          <w:color w:val="252525"/>
          <w:shd w:val="clear" w:color="auto" w:fill="FFFFFF"/>
        </w:rPr>
        <w:t xml:space="preserve"> (CA)]. As Lloyd J. emphasized, setting aside an </w:t>
      </w:r>
      <w:r>
        <w:rPr>
          <w:rFonts w:cs="Times New Roman"/>
          <w:i/>
          <w:iCs/>
          <w:color w:val="252525"/>
          <w:shd w:val="clear" w:color="auto" w:fill="FFFFFF"/>
        </w:rPr>
        <w:t>ultra vires</w:t>
      </w:r>
      <w:r>
        <w:rPr>
          <w:rFonts w:cs="Times New Roman"/>
          <w:color w:val="252525"/>
          <w:shd w:val="clear" w:color="auto" w:fill="FFFFFF"/>
        </w:rPr>
        <w:t xml:space="preserve"> transaction by a trustee is not, in fact, an application of the Rule in </w:t>
      </w:r>
      <w:r>
        <w:rPr>
          <w:rFonts w:cs="Times New Roman"/>
          <w:i/>
          <w:iCs/>
          <w:color w:val="252525"/>
          <w:shd w:val="clear" w:color="auto" w:fill="FFFFFF"/>
        </w:rPr>
        <w:t>Re Hastings-Bass</w:t>
      </w:r>
      <w:r>
        <w:rPr>
          <w:rFonts w:cs="Times New Roman"/>
          <w:color w:val="252525"/>
          <w:shd w:val="clear" w:color="auto" w:fill="FFFFFF"/>
        </w:rPr>
        <w:t xml:space="preserve"> but of a </w:t>
      </w:r>
      <w:proofErr w:type="spellStart"/>
      <w:r>
        <w:rPr>
          <w:rFonts w:cs="Times New Roman"/>
          <w:color w:val="252525"/>
          <w:shd w:val="clear" w:color="auto" w:fill="FFFFFF"/>
        </w:rPr>
        <w:t>w</w:t>
      </w:r>
      <w:r w:rsidR="00D21CB6">
        <w:rPr>
          <w:rFonts w:cs="Times New Roman"/>
          <w:color w:val="252525"/>
          <w:shd w:val="clear" w:color="auto" w:fill="FFFFFF"/>
        </w:rPr>
        <w:t>ell established</w:t>
      </w:r>
      <w:proofErr w:type="spellEnd"/>
      <w:r w:rsidR="00D21CB6">
        <w:rPr>
          <w:rFonts w:cs="Times New Roman"/>
          <w:color w:val="252525"/>
          <w:shd w:val="clear" w:color="auto" w:fill="FFFFFF"/>
        </w:rPr>
        <w:t xml:space="preserve"> and undisputed c</w:t>
      </w:r>
      <w:r>
        <w:rPr>
          <w:rFonts w:cs="Times New Roman"/>
          <w:color w:val="252525"/>
          <w:shd w:val="clear" w:color="auto" w:fill="FFFFFF"/>
        </w:rPr>
        <w:t>omm</w:t>
      </w:r>
      <w:r w:rsidR="00D21CB6">
        <w:rPr>
          <w:rFonts w:cs="Times New Roman"/>
          <w:color w:val="252525"/>
          <w:shd w:val="clear" w:color="auto" w:fill="FFFFFF"/>
        </w:rPr>
        <w:t>on l</w:t>
      </w:r>
      <w:r>
        <w:rPr>
          <w:rFonts w:cs="Times New Roman"/>
          <w:color w:val="252525"/>
          <w:shd w:val="clear" w:color="auto" w:fill="FFFFFF"/>
        </w:rPr>
        <w:t xml:space="preserve">aw tradition prior to the Rule. </w:t>
      </w:r>
    </w:p>
  </w:footnote>
  <w:footnote w:id="20">
    <w:p w14:paraId="06E0C7CD" w14:textId="2F1A3539" w:rsidR="001012BC" w:rsidRPr="00A72699" w:rsidRDefault="001012BC" w:rsidP="00444865">
      <w:pPr>
        <w:pStyle w:val="FootnoteText"/>
        <w:spacing w:line="360" w:lineRule="auto"/>
      </w:pPr>
      <w:r>
        <w:rPr>
          <w:rStyle w:val="FootnoteReference"/>
        </w:rPr>
        <w:footnoteRef/>
      </w:r>
      <w:r>
        <w:t xml:space="preserve"> </w:t>
      </w:r>
      <w:r>
        <w:rPr>
          <w:i/>
          <w:iCs/>
        </w:rPr>
        <w:t>Pitt</w:t>
      </w:r>
      <w:r>
        <w:t xml:space="preserve"> (CA), </w:t>
      </w:r>
      <w:r>
        <w:rPr>
          <w:i/>
          <w:iCs/>
        </w:rPr>
        <w:t>supra</w:t>
      </w:r>
      <w:r>
        <w:t xml:space="preserve"> </w:t>
      </w:r>
      <w:proofErr w:type="gramStart"/>
      <w:r>
        <w:t>note</w:t>
      </w:r>
      <w:proofErr w:type="gramEnd"/>
      <w:r>
        <w:t xml:space="preserve"> 19, at </w:t>
      </w:r>
      <w:r w:rsidRPr="00EB5EE6">
        <w:rPr>
          <w:rFonts w:cs="Times New Roman"/>
          <w:color w:val="252525"/>
          <w:shd w:val="clear" w:color="auto" w:fill="FFFFFF"/>
        </w:rPr>
        <w:t>¶</w:t>
      </w:r>
      <w:r>
        <w:rPr>
          <w:rFonts w:cs="Times New Roman"/>
          <w:color w:val="252525"/>
          <w:shd w:val="clear" w:color="auto" w:fill="FFFFFF"/>
        </w:rPr>
        <w:t xml:space="preserve"> 99–107. </w:t>
      </w:r>
    </w:p>
  </w:footnote>
  <w:footnote w:id="21">
    <w:p w14:paraId="139FD359" w14:textId="7C729DB9" w:rsidR="001012BC" w:rsidRPr="00914BB5" w:rsidRDefault="001012BC" w:rsidP="00444865">
      <w:pPr>
        <w:pStyle w:val="FootnoteText"/>
        <w:spacing w:line="360" w:lineRule="auto"/>
      </w:pPr>
      <w:r>
        <w:rPr>
          <w:rStyle w:val="FootnoteReference"/>
        </w:rPr>
        <w:footnoteRef/>
      </w:r>
      <w:r>
        <w:t xml:space="preserve"> Id., at </w:t>
      </w:r>
      <w:r w:rsidRPr="00EB5EE6">
        <w:rPr>
          <w:rFonts w:cs="Times New Roman"/>
          <w:color w:val="252525"/>
          <w:shd w:val="clear" w:color="auto" w:fill="FFFFFF"/>
        </w:rPr>
        <w:t>¶</w:t>
      </w:r>
      <w:r>
        <w:rPr>
          <w:rFonts w:cs="Times New Roman"/>
          <w:color w:val="252525"/>
          <w:shd w:val="clear" w:color="auto" w:fill="FFFFFF"/>
        </w:rPr>
        <w:t xml:space="preserve"> 129; also see Simon Kerry, </w:t>
      </w:r>
      <w:r>
        <w:rPr>
          <w:rFonts w:cs="Times New Roman"/>
          <w:i/>
          <w:iCs/>
          <w:color w:val="252525"/>
          <w:shd w:val="clear" w:color="auto" w:fill="FFFFFF"/>
        </w:rPr>
        <w:t>Control of Trustee Discretion: The Rule in Re Hastings-Bass</w:t>
      </w:r>
      <w:r>
        <w:rPr>
          <w:rFonts w:cs="Times New Roman"/>
          <w:color w:val="252525"/>
          <w:shd w:val="clear" w:color="auto" w:fill="FFFFFF"/>
        </w:rPr>
        <w:t xml:space="preserve"> 1 </w:t>
      </w:r>
      <w:r w:rsidRPr="00914BB5">
        <w:rPr>
          <w:rFonts w:cs="Times New Roman"/>
          <w:smallCaps/>
          <w:color w:val="252525"/>
          <w:shd w:val="clear" w:color="auto" w:fill="FFFFFF"/>
        </w:rPr>
        <w:t>U.C.L.L.J. &amp; Jurisprudence</w:t>
      </w:r>
      <w:r>
        <w:rPr>
          <w:rFonts w:cs="Times New Roman"/>
          <w:color w:val="252525"/>
          <w:shd w:val="clear" w:color="auto" w:fill="FFFFFF"/>
        </w:rPr>
        <w:t xml:space="preserve"> 46. </w:t>
      </w:r>
      <w:proofErr w:type="gramStart"/>
      <w:r>
        <w:rPr>
          <w:rFonts w:cs="Times New Roman"/>
          <w:color w:val="252525"/>
          <w:shd w:val="clear" w:color="auto" w:fill="FFFFFF"/>
        </w:rPr>
        <w:t>63–68 (2012).</w:t>
      </w:r>
      <w:proofErr w:type="gramEnd"/>
      <w:r>
        <w:rPr>
          <w:rFonts w:cs="Times New Roman"/>
          <w:color w:val="252525"/>
          <w:shd w:val="clear" w:color="auto" w:fill="FFFFFF"/>
        </w:rPr>
        <w:t xml:space="preserve"> </w:t>
      </w:r>
    </w:p>
  </w:footnote>
  <w:footnote w:id="22">
    <w:p w14:paraId="55A86B05" w14:textId="5A16958C" w:rsidR="001012BC" w:rsidRPr="006E34EE" w:rsidRDefault="001012BC" w:rsidP="00444865">
      <w:pPr>
        <w:pStyle w:val="FootnoteText"/>
        <w:spacing w:line="360" w:lineRule="auto"/>
      </w:pPr>
      <w:r>
        <w:rPr>
          <w:rStyle w:val="FootnoteReference"/>
        </w:rPr>
        <w:footnoteRef/>
      </w:r>
      <w:r>
        <w:t xml:space="preserve"> </w:t>
      </w:r>
      <w:r>
        <w:rPr>
          <w:i/>
          <w:iCs/>
        </w:rPr>
        <w:t>Pitt</w:t>
      </w:r>
      <w:r>
        <w:t xml:space="preserve"> (CA), </w:t>
      </w:r>
      <w:r>
        <w:rPr>
          <w:i/>
          <w:iCs/>
        </w:rPr>
        <w:t>supra</w:t>
      </w:r>
      <w:r>
        <w:t xml:space="preserve"> </w:t>
      </w:r>
      <w:proofErr w:type="gramStart"/>
      <w:r>
        <w:t>note</w:t>
      </w:r>
      <w:proofErr w:type="gramEnd"/>
      <w:r>
        <w:t xml:space="preserve"> 19, at </w:t>
      </w:r>
      <w:r w:rsidRPr="00EB5EE6">
        <w:rPr>
          <w:rFonts w:cs="Times New Roman"/>
          <w:color w:val="252525"/>
          <w:shd w:val="clear" w:color="auto" w:fill="FFFFFF"/>
        </w:rPr>
        <w:t>¶</w:t>
      </w:r>
      <w:r>
        <w:rPr>
          <w:rFonts w:cs="Times New Roman"/>
          <w:color w:val="252525"/>
          <w:shd w:val="clear" w:color="auto" w:fill="FFFFFF"/>
        </w:rPr>
        <w:t xml:space="preserve"> 125. For the pre-</w:t>
      </w:r>
      <w:r>
        <w:rPr>
          <w:rFonts w:cs="Times New Roman"/>
          <w:i/>
          <w:iCs/>
          <w:color w:val="252525"/>
          <w:shd w:val="clear" w:color="auto" w:fill="FFFFFF"/>
        </w:rPr>
        <w:t>Pitt</w:t>
      </w:r>
      <w:r>
        <w:rPr>
          <w:rFonts w:cs="Times New Roman"/>
          <w:color w:val="252525"/>
          <w:shd w:val="clear" w:color="auto" w:fill="FFFFFF"/>
        </w:rPr>
        <w:t xml:space="preserve"> debate on the matter see </w:t>
      </w:r>
      <w:r>
        <w:rPr>
          <w:rFonts w:cs="Times New Roman"/>
          <w:i/>
          <w:iCs/>
          <w:color w:val="252525"/>
          <w:shd w:val="clear" w:color="auto" w:fill="FFFFFF"/>
        </w:rPr>
        <w:t>Abacus v. Barr</w:t>
      </w:r>
      <w:r>
        <w:rPr>
          <w:rFonts w:cs="Times New Roman"/>
          <w:color w:val="252525"/>
          <w:shd w:val="clear" w:color="auto" w:fill="FFFFFF"/>
        </w:rPr>
        <w:t xml:space="preserve">, </w:t>
      </w:r>
      <w:r>
        <w:rPr>
          <w:rFonts w:cs="Times New Roman"/>
          <w:i/>
          <w:iCs/>
          <w:color w:val="252525"/>
          <w:shd w:val="clear" w:color="auto" w:fill="FFFFFF"/>
        </w:rPr>
        <w:t>supra</w:t>
      </w:r>
      <w:r>
        <w:rPr>
          <w:rFonts w:cs="Times New Roman"/>
          <w:color w:val="252525"/>
          <w:shd w:val="clear" w:color="auto" w:fill="FFFFFF"/>
        </w:rPr>
        <w:t xml:space="preserve"> note 16, at </w:t>
      </w:r>
      <w:r w:rsidRPr="00EB5EE6">
        <w:rPr>
          <w:rFonts w:cs="Times New Roman"/>
          <w:color w:val="252525"/>
          <w:shd w:val="clear" w:color="auto" w:fill="FFFFFF"/>
        </w:rPr>
        <w:t>¶</w:t>
      </w:r>
      <w:r>
        <w:rPr>
          <w:rFonts w:cs="Times New Roman"/>
          <w:color w:val="252525"/>
          <w:shd w:val="clear" w:color="auto" w:fill="FFFFFF"/>
        </w:rPr>
        <w:t xml:space="preserve"> 23–25. </w:t>
      </w:r>
    </w:p>
  </w:footnote>
  <w:footnote w:id="23">
    <w:p w14:paraId="661EAAD5" w14:textId="23242EC6" w:rsidR="001012BC" w:rsidRPr="00BC267F" w:rsidRDefault="001012BC" w:rsidP="00444865">
      <w:pPr>
        <w:pStyle w:val="FootnoteText"/>
        <w:spacing w:line="360" w:lineRule="auto"/>
      </w:pPr>
      <w:r>
        <w:rPr>
          <w:rStyle w:val="FootnoteReference"/>
        </w:rPr>
        <w:footnoteRef/>
      </w:r>
      <w:r>
        <w:t xml:space="preserve"> </w:t>
      </w:r>
      <w:proofErr w:type="spellStart"/>
      <w:r>
        <w:rPr>
          <w:i/>
          <w:iCs/>
        </w:rPr>
        <w:t>Sieff</w:t>
      </w:r>
      <w:proofErr w:type="spellEnd"/>
      <w:r>
        <w:t xml:space="preserve">, </w:t>
      </w:r>
      <w:r>
        <w:rPr>
          <w:i/>
          <w:iCs/>
        </w:rPr>
        <w:t>supra</w:t>
      </w:r>
      <w:r>
        <w:t xml:space="preserve"> note 10, at </w:t>
      </w:r>
      <w:r w:rsidRPr="00EB5EE6">
        <w:rPr>
          <w:rFonts w:cs="Times New Roman"/>
          <w:color w:val="252525"/>
          <w:shd w:val="clear" w:color="auto" w:fill="FFFFFF"/>
        </w:rPr>
        <w:t>¶</w:t>
      </w:r>
      <w:r>
        <w:rPr>
          <w:rFonts w:cs="Times New Roman"/>
          <w:color w:val="252525"/>
          <w:shd w:val="clear" w:color="auto" w:fill="FFFFFF"/>
        </w:rPr>
        <w:t xml:space="preserve"> 77. </w:t>
      </w:r>
      <w:proofErr w:type="gramStart"/>
      <w:r>
        <w:rPr>
          <w:rFonts w:cs="Times New Roman"/>
          <w:color w:val="252525"/>
          <w:shd w:val="clear" w:color="auto" w:fill="FFFFFF"/>
        </w:rPr>
        <w:t>The would</w:t>
      </w:r>
      <w:proofErr w:type="gramEnd"/>
      <w:r>
        <w:rPr>
          <w:rFonts w:cs="Times New Roman"/>
          <w:color w:val="252525"/>
          <w:shd w:val="clear" w:color="auto" w:fill="FFFFFF"/>
        </w:rPr>
        <w:t xml:space="preserve">/might debate produced an outpouring of literature. See, for example, Richard Nolan &amp; Matthew </w:t>
      </w:r>
      <w:proofErr w:type="spellStart"/>
      <w:r>
        <w:rPr>
          <w:rFonts w:cs="Times New Roman"/>
          <w:color w:val="252525"/>
          <w:shd w:val="clear" w:color="auto" w:fill="FFFFFF"/>
        </w:rPr>
        <w:t>Conaglen</w:t>
      </w:r>
      <w:proofErr w:type="spellEnd"/>
      <w:r>
        <w:rPr>
          <w:rFonts w:cs="Times New Roman"/>
          <w:color w:val="252525"/>
          <w:shd w:val="clear" w:color="auto" w:fill="FFFFFF"/>
        </w:rPr>
        <w:t xml:space="preserve">, </w:t>
      </w:r>
      <w:r>
        <w:rPr>
          <w:rFonts w:cs="Times New Roman"/>
          <w:i/>
          <w:iCs/>
          <w:color w:val="252525"/>
          <w:shd w:val="clear" w:color="auto" w:fill="FFFFFF"/>
        </w:rPr>
        <w:t>Trustee (In)discretion</w:t>
      </w:r>
      <w:r>
        <w:rPr>
          <w:rFonts w:cs="Times New Roman"/>
          <w:color w:val="252525"/>
          <w:shd w:val="clear" w:color="auto" w:fill="FFFFFF"/>
        </w:rPr>
        <w:t xml:space="preserve">, 65 </w:t>
      </w:r>
      <w:r w:rsidRPr="001D395D">
        <w:rPr>
          <w:rFonts w:cs="Times New Roman"/>
          <w:smallCaps/>
          <w:color w:val="252525"/>
          <w:shd w:val="clear" w:color="auto" w:fill="FFFFFF"/>
        </w:rPr>
        <w:t>Cambridge L.J.</w:t>
      </w:r>
      <w:r>
        <w:rPr>
          <w:rFonts w:cs="Times New Roman"/>
          <w:color w:val="252525"/>
          <w:shd w:val="clear" w:color="auto" w:fill="FFFFFF"/>
        </w:rPr>
        <w:t xml:space="preserve"> 15 (2006); Jonathan Hilliard, </w:t>
      </w:r>
      <w:r>
        <w:rPr>
          <w:rFonts w:cs="Times New Roman"/>
          <w:i/>
          <w:iCs/>
          <w:color w:val="252525"/>
          <w:shd w:val="clear" w:color="auto" w:fill="FFFFFF"/>
        </w:rPr>
        <w:t>Limiting Re Hastings-Bass?</w:t>
      </w:r>
      <w:r>
        <w:rPr>
          <w:rFonts w:cs="Times New Roman"/>
          <w:color w:val="252525"/>
          <w:shd w:val="clear" w:color="auto" w:fill="FFFFFF"/>
        </w:rPr>
        <w:t xml:space="preserve"> </w:t>
      </w:r>
      <w:proofErr w:type="gramStart"/>
      <w:r>
        <w:rPr>
          <w:rFonts w:cs="Times New Roman"/>
          <w:color w:val="252525"/>
          <w:shd w:val="clear" w:color="auto" w:fill="FFFFFF"/>
        </w:rPr>
        <w:t xml:space="preserve">May/Jun. 2004, </w:t>
      </w:r>
      <w:r w:rsidRPr="00BC267F">
        <w:rPr>
          <w:rFonts w:cs="Times New Roman"/>
          <w:smallCaps/>
          <w:color w:val="252525"/>
          <w:shd w:val="clear" w:color="auto" w:fill="FFFFFF"/>
        </w:rPr>
        <w:t>Conv. &amp; Prop.</w:t>
      </w:r>
      <w:proofErr w:type="gramEnd"/>
      <w:r w:rsidRPr="00BC267F">
        <w:rPr>
          <w:rFonts w:cs="Times New Roman"/>
          <w:smallCaps/>
          <w:color w:val="252525"/>
          <w:shd w:val="clear" w:color="auto" w:fill="FFFFFF"/>
        </w:rPr>
        <w:t xml:space="preserve"> Lawyer</w:t>
      </w:r>
      <w:r>
        <w:rPr>
          <w:rFonts w:cs="Times New Roman"/>
          <w:color w:val="252525"/>
          <w:shd w:val="clear" w:color="auto" w:fill="FFFFFF"/>
        </w:rPr>
        <w:t xml:space="preserve"> 208, 222 – 223; Charles Mitchell, </w:t>
      </w:r>
      <w:r>
        <w:rPr>
          <w:rFonts w:cs="Times New Roman"/>
          <w:i/>
          <w:iCs/>
          <w:color w:val="252525"/>
          <w:shd w:val="clear" w:color="auto" w:fill="FFFFFF"/>
        </w:rPr>
        <w:t>Reining in the Rule in Re Hastings-Bass</w:t>
      </w:r>
      <w:r>
        <w:rPr>
          <w:rFonts w:cs="Times New Roman"/>
          <w:color w:val="252525"/>
          <w:shd w:val="clear" w:color="auto" w:fill="FFFFFF"/>
        </w:rPr>
        <w:t xml:space="preserve">, 122 L.Q. Rev. 35, 37–39 (2006). </w:t>
      </w:r>
    </w:p>
  </w:footnote>
  <w:footnote w:id="24">
    <w:p w14:paraId="79FE3E2B" w14:textId="066CB2E6" w:rsidR="001012BC" w:rsidRPr="004A0EF9" w:rsidRDefault="001012BC" w:rsidP="00444865">
      <w:pPr>
        <w:pStyle w:val="FootnoteText"/>
        <w:spacing w:line="360" w:lineRule="auto"/>
      </w:pPr>
      <w:r>
        <w:rPr>
          <w:rStyle w:val="FootnoteReference"/>
        </w:rPr>
        <w:footnoteRef/>
      </w:r>
      <w:r>
        <w:t xml:space="preserve"> </w:t>
      </w:r>
      <w:r>
        <w:rPr>
          <w:i/>
          <w:iCs/>
        </w:rPr>
        <w:t xml:space="preserve">Pitt </w:t>
      </w:r>
      <w:r>
        <w:t xml:space="preserve">(SC), </w:t>
      </w:r>
      <w:r>
        <w:rPr>
          <w:i/>
          <w:iCs/>
        </w:rPr>
        <w:t>supra</w:t>
      </w:r>
      <w:r>
        <w:t xml:space="preserve"> </w:t>
      </w:r>
      <w:proofErr w:type="gramStart"/>
      <w:r>
        <w:t>note</w:t>
      </w:r>
      <w:proofErr w:type="gramEnd"/>
      <w:r>
        <w:t xml:space="preserve"> 6, at </w:t>
      </w:r>
      <w:r w:rsidRPr="00EB5EE6">
        <w:rPr>
          <w:rFonts w:cs="Times New Roman"/>
          <w:color w:val="252525"/>
          <w:shd w:val="clear" w:color="auto" w:fill="FFFFFF"/>
        </w:rPr>
        <w:t>¶</w:t>
      </w:r>
      <w:r>
        <w:rPr>
          <w:rFonts w:cs="Times New Roman"/>
          <w:color w:val="252525"/>
          <w:shd w:val="clear" w:color="auto" w:fill="FFFFFF"/>
        </w:rPr>
        <w:t xml:space="preserve"> 93. </w:t>
      </w:r>
    </w:p>
  </w:footnote>
  <w:footnote w:id="25">
    <w:p w14:paraId="6A80B329" w14:textId="1CF4C7F8" w:rsidR="001012BC" w:rsidRDefault="001012BC" w:rsidP="00444865">
      <w:pPr>
        <w:pStyle w:val="FootnoteText"/>
        <w:spacing w:line="360" w:lineRule="auto"/>
      </w:pPr>
      <w:r>
        <w:rPr>
          <w:rStyle w:val="FootnoteReference"/>
        </w:rPr>
        <w:footnoteRef/>
      </w:r>
      <w:r>
        <w:t xml:space="preserve"> </w:t>
      </w:r>
      <w:proofErr w:type="gramStart"/>
      <w:r>
        <w:t>Inheritance Tax Act 1984, c. 51, § 150.</w:t>
      </w:r>
      <w:proofErr w:type="gramEnd"/>
      <w:r>
        <w:t xml:space="preserve"> </w:t>
      </w:r>
    </w:p>
  </w:footnote>
  <w:footnote w:id="26">
    <w:p w14:paraId="2E6239F7" w14:textId="1C571791" w:rsidR="001012BC" w:rsidRPr="00E65A5B" w:rsidRDefault="001012BC" w:rsidP="00444865">
      <w:pPr>
        <w:pStyle w:val="FootnoteText"/>
        <w:spacing w:line="360" w:lineRule="auto"/>
      </w:pPr>
      <w:r>
        <w:rPr>
          <w:rStyle w:val="FootnoteReference"/>
        </w:rPr>
        <w:footnoteRef/>
      </w:r>
      <w:r>
        <w:t xml:space="preserve"> Kerry, </w:t>
      </w:r>
      <w:r>
        <w:rPr>
          <w:i/>
          <w:iCs/>
        </w:rPr>
        <w:t>supra</w:t>
      </w:r>
      <w:r>
        <w:t xml:space="preserve"> note 21, at 76–78. </w:t>
      </w:r>
    </w:p>
  </w:footnote>
  <w:footnote w:id="27">
    <w:p w14:paraId="3BEF2023" w14:textId="617B4F30" w:rsidR="001012BC" w:rsidRDefault="001012BC" w:rsidP="00444865">
      <w:pPr>
        <w:pStyle w:val="FootnoteText"/>
        <w:spacing w:line="360" w:lineRule="auto"/>
      </w:pPr>
      <w:r>
        <w:rPr>
          <w:rStyle w:val="FootnoteReference"/>
        </w:rPr>
        <w:footnoteRef/>
      </w:r>
      <w:r w:rsidR="00EA5D0E">
        <w:t xml:space="preserve"> Id., at 59–63. The</w:t>
      </w:r>
      <w:r>
        <w:t xml:space="preserve"> </w:t>
      </w:r>
      <w:r w:rsidR="00EA5D0E">
        <w:t>f</w:t>
      </w:r>
      <w:r>
        <w:t xml:space="preserve">raud on a </w:t>
      </w:r>
      <w:r w:rsidR="00EA5D0E">
        <w:t>p</w:t>
      </w:r>
      <w:r>
        <w:t>ower</w:t>
      </w:r>
      <w:r w:rsidR="00EA5D0E">
        <w:t xml:space="preserve"> doctrine</w:t>
      </w:r>
      <w:r>
        <w:t xml:space="preserve"> was specifically mentioned in </w:t>
      </w:r>
      <w:r>
        <w:rPr>
          <w:i/>
          <w:iCs/>
        </w:rPr>
        <w:t>Pitt</w:t>
      </w:r>
      <w:r>
        <w:t xml:space="preserve"> (CA) as </w:t>
      </w:r>
      <w:r w:rsidR="00EA5D0E">
        <w:t>capable of rendering a</w:t>
      </w:r>
      <w:r>
        <w:t xml:space="preserve"> trustee</w:t>
      </w:r>
      <w:r w:rsidR="00EA5D0E">
        <w:t xml:space="preserve"> disposition</w:t>
      </w:r>
      <w:r>
        <w:t xml:space="preserve"> void rather than voidable: see </w:t>
      </w:r>
      <w:r>
        <w:rPr>
          <w:i/>
          <w:iCs/>
        </w:rPr>
        <w:t>Pitt</w:t>
      </w:r>
      <w:r>
        <w:t xml:space="preserve"> (CA) at </w:t>
      </w:r>
      <w:r w:rsidRPr="00EB5EE6">
        <w:rPr>
          <w:rFonts w:cs="Times New Roman"/>
          <w:color w:val="252525"/>
          <w:shd w:val="clear" w:color="auto" w:fill="FFFFFF"/>
        </w:rPr>
        <w:t>¶</w:t>
      </w:r>
      <w:r>
        <w:rPr>
          <w:rFonts w:cs="Times New Roman"/>
          <w:color w:val="252525"/>
          <w:shd w:val="clear" w:color="auto" w:fill="FFFFFF"/>
        </w:rPr>
        <w:t xml:space="preserve"> 96.</w:t>
      </w:r>
    </w:p>
  </w:footnote>
  <w:footnote w:id="28">
    <w:p w14:paraId="1D66EA65" w14:textId="37717D52" w:rsidR="00BE43A5" w:rsidRDefault="00BE43A5">
      <w:pPr>
        <w:pStyle w:val="FootnoteText"/>
      </w:pPr>
      <w:r>
        <w:rPr>
          <w:rStyle w:val="FootnoteReference"/>
        </w:rPr>
        <w:footnoteRef/>
      </w:r>
      <w:r>
        <w:t xml:space="preserve"> </w:t>
      </w:r>
      <w:proofErr w:type="gramStart"/>
      <w:r w:rsidRPr="00BE43A5">
        <w:rPr>
          <w:i/>
          <w:iCs/>
        </w:rPr>
        <w:t xml:space="preserve">Brian Kennedy &amp; </w:t>
      </w:r>
      <w:proofErr w:type="spellStart"/>
      <w:r w:rsidRPr="00BE43A5">
        <w:rPr>
          <w:i/>
          <w:iCs/>
        </w:rPr>
        <w:t>ors</w:t>
      </w:r>
      <w:proofErr w:type="spellEnd"/>
      <w:r w:rsidRPr="00BE43A5">
        <w:rPr>
          <w:i/>
          <w:iCs/>
        </w:rPr>
        <w:t xml:space="preserve"> v. Patrick Kennedy &amp; </w:t>
      </w:r>
      <w:proofErr w:type="spellStart"/>
      <w:r w:rsidRPr="00BE43A5">
        <w:rPr>
          <w:i/>
          <w:iCs/>
        </w:rPr>
        <w:t>ors</w:t>
      </w:r>
      <w:proofErr w:type="spellEnd"/>
      <w:r w:rsidRPr="00BE43A5">
        <w:t>.</w:t>
      </w:r>
      <w:proofErr w:type="gramEnd"/>
      <w:r w:rsidRPr="00BE43A5">
        <w:t xml:space="preserve"> [2014] EWHC 4129 (</w:t>
      </w:r>
      <w:proofErr w:type="spellStart"/>
      <w:r w:rsidRPr="00BE43A5">
        <w:t>Ch</w:t>
      </w:r>
      <w:proofErr w:type="spellEnd"/>
      <w:r w:rsidRPr="00BE43A5">
        <w:t xml:space="preserve">), [2014] </w:t>
      </w:r>
      <w:proofErr w:type="gramStart"/>
      <w:r w:rsidRPr="00BE43A5">
        <w:t>WLR(</w:t>
      </w:r>
      <w:proofErr w:type="gramEnd"/>
      <w:r w:rsidRPr="00BE43A5">
        <w:t>D) 524, ¶ 38.</w:t>
      </w:r>
      <w:r>
        <w:rPr>
          <w:rFonts w:asciiTheme="majorBidi" w:hAnsiTheme="majorBidi" w:cstheme="majorBidi"/>
          <w:sz w:val="24"/>
          <w:szCs w:val="24"/>
        </w:rPr>
        <w:t xml:space="preserve"> </w:t>
      </w:r>
    </w:p>
  </w:footnote>
  <w:footnote w:id="29">
    <w:p w14:paraId="251051A2" w14:textId="4BF30F56" w:rsidR="00B73DC8" w:rsidRPr="00B73DC8" w:rsidRDefault="00B73DC8" w:rsidP="00A92F3B">
      <w:pPr>
        <w:pStyle w:val="FootnoteText"/>
        <w:spacing w:line="360" w:lineRule="auto"/>
      </w:pPr>
      <w:r w:rsidRPr="00B73DC8">
        <w:rPr>
          <w:rStyle w:val="FootnoteReference"/>
        </w:rPr>
        <w:footnoteRef/>
      </w:r>
      <w:r w:rsidRPr="00B73DC8">
        <w:t xml:space="preserve"> </w:t>
      </w:r>
      <w:proofErr w:type="gramStart"/>
      <w:r w:rsidRPr="00B73DC8">
        <w:rPr>
          <w:rFonts w:cs="Times New Roman"/>
          <w:i/>
          <w:iCs/>
        </w:rPr>
        <w:t>Freedman v Free</w:t>
      </w:r>
      <w:r>
        <w:rPr>
          <w:rFonts w:cs="Times New Roman"/>
          <w:i/>
          <w:iCs/>
        </w:rPr>
        <w:t xml:space="preserve">dman &amp; </w:t>
      </w:r>
      <w:proofErr w:type="spellStart"/>
      <w:r>
        <w:rPr>
          <w:rFonts w:cs="Times New Roman"/>
          <w:i/>
          <w:iCs/>
        </w:rPr>
        <w:t>o</w:t>
      </w:r>
      <w:r w:rsidRPr="00B73DC8">
        <w:rPr>
          <w:rFonts w:cs="Times New Roman"/>
          <w:i/>
          <w:iCs/>
        </w:rPr>
        <w:t>rs</w:t>
      </w:r>
      <w:proofErr w:type="spellEnd"/>
      <w:r w:rsidRPr="00B73DC8">
        <w:rPr>
          <w:rFonts w:cs="Times New Roman"/>
          <w:i/>
          <w:iCs/>
        </w:rPr>
        <w:t>.</w:t>
      </w:r>
      <w:proofErr w:type="gramEnd"/>
      <w:r w:rsidRPr="00B73DC8">
        <w:rPr>
          <w:rFonts w:cs="Times New Roman"/>
        </w:rPr>
        <w:t xml:space="preserve"> </w:t>
      </w:r>
      <w:proofErr w:type="gramStart"/>
      <w:r w:rsidRPr="00B73DC8">
        <w:rPr>
          <w:rFonts w:cs="Times New Roman"/>
        </w:rPr>
        <w:t>[2015] EWHC 1457 (</w:t>
      </w:r>
      <w:proofErr w:type="spellStart"/>
      <w:r w:rsidRPr="00B73DC8">
        <w:rPr>
          <w:rFonts w:cs="Times New Roman"/>
        </w:rPr>
        <w:t>Ch</w:t>
      </w:r>
      <w:proofErr w:type="spellEnd"/>
      <w:r w:rsidRPr="00B73DC8">
        <w:rPr>
          <w:rFonts w:cs="Times New Roman"/>
        </w:rPr>
        <w:t>); [2015] W.T.L.R. 1187; [2015] S.T.I. 1735; [2015] 2 P. &amp; C.R. DG19</w:t>
      </w:r>
      <w:r w:rsidRPr="00B73DC8">
        <w:t xml:space="preserve">, </w:t>
      </w:r>
      <w:r w:rsidRPr="00B73DC8">
        <w:rPr>
          <w:rFonts w:ascii="David" w:hAnsi="David"/>
        </w:rPr>
        <w:t>¶</w:t>
      </w:r>
      <w:r w:rsidRPr="00B73DC8">
        <w:t xml:space="preserve"> 41.</w:t>
      </w:r>
      <w:proofErr w:type="gramEnd"/>
    </w:p>
  </w:footnote>
  <w:footnote w:id="30">
    <w:p w14:paraId="71E2A785" w14:textId="77777777" w:rsidR="006835F7" w:rsidRDefault="006835F7" w:rsidP="006835F7">
      <w:pPr>
        <w:pStyle w:val="FootnoteText"/>
        <w:spacing w:line="360" w:lineRule="auto"/>
      </w:pPr>
      <w:r w:rsidRPr="009F28DB">
        <w:rPr>
          <w:vertAlign w:val="superscript"/>
        </w:rPr>
        <w:footnoteRef/>
      </w:r>
      <w:r w:rsidRPr="009F28DB">
        <w:rPr>
          <w:vertAlign w:val="superscript"/>
        </w:rPr>
        <w:t xml:space="preserve"> </w:t>
      </w:r>
      <w:r>
        <w:t xml:space="preserve">See, e.g., </w:t>
      </w:r>
      <w:proofErr w:type="spellStart"/>
      <w:r w:rsidRPr="001E1898">
        <w:rPr>
          <w:i/>
          <w:iCs/>
        </w:rPr>
        <w:t>Conkright</w:t>
      </w:r>
      <w:proofErr w:type="spellEnd"/>
      <w:r w:rsidRPr="001E1898">
        <w:rPr>
          <w:i/>
          <w:iCs/>
        </w:rPr>
        <w:t xml:space="preserve"> v. </w:t>
      </w:r>
      <w:proofErr w:type="spellStart"/>
      <w:r w:rsidRPr="001E1898">
        <w:rPr>
          <w:i/>
          <w:iCs/>
        </w:rPr>
        <w:t>Frommert</w:t>
      </w:r>
      <w:proofErr w:type="spellEnd"/>
      <w:r w:rsidRPr="009F28DB">
        <w:t>, 559 U.S. 506</w:t>
      </w:r>
      <w:r>
        <w:t xml:space="preserve">, </w:t>
      </w:r>
      <w:hyperlink r:id="rId1" w:history="1">
        <w:r w:rsidRPr="009F28DB">
          <w:t>130 S. Ct. 1640</w:t>
        </w:r>
      </w:hyperlink>
      <w:r>
        <w:t>,</w:t>
      </w:r>
      <w:r w:rsidRPr="009F28DB">
        <w:t> </w:t>
      </w:r>
      <w:hyperlink r:id="rId2" w:history="1">
        <w:r w:rsidRPr="009F28DB">
          <w:t>176 L. Ed. 2d 469</w:t>
        </w:r>
      </w:hyperlink>
      <w:r>
        <w:t xml:space="preserve"> (2010); </w:t>
      </w:r>
      <w:proofErr w:type="spellStart"/>
      <w:r w:rsidRPr="001E1898">
        <w:rPr>
          <w:i/>
          <w:iCs/>
        </w:rPr>
        <w:t>O'Riley</w:t>
      </w:r>
      <w:proofErr w:type="spellEnd"/>
      <w:r w:rsidRPr="001E1898">
        <w:rPr>
          <w:i/>
          <w:iCs/>
        </w:rPr>
        <w:t xml:space="preserve"> v. United States Bank, N.A.</w:t>
      </w:r>
      <w:r w:rsidRPr="002C4559">
        <w:t>, 412 S.W.3d 400</w:t>
      </w:r>
      <w:r>
        <w:t xml:space="preserve"> (Mo. </w:t>
      </w:r>
      <w:r w:rsidRPr="002C4559">
        <w:t>C</w:t>
      </w:r>
      <w:r>
        <w:t>t.</w:t>
      </w:r>
      <w:r w:rsidRPr="002C4559">
        <w:t xml:space="preserve"> App</w:t>
      </w:r>
      <w:r>
        <w:t xml:space="preserve">. 2013); </w:t>
      </w:r>
      <w:r w:rsidRPr="00CF13F1">
        <w:rPr>
          <w:rFonts w:cs="Times New Roman"/>
          <w:i/>
          <w:iCs/>
        </w:rPr>
        <w:t>Griffin v. Griffin</w:t>
      </w:r>
      <w:r>
        <w:rPr>
          <w:rFonts w:cs="Times New Roman"/>
        </w:rPr>
        <w:t xml:space="preserve">, 463 So. </w:t>
      </w:r>
      <w:proofErr w:type="gramStart"/>
      <w:r>
        <w:rPr>
          <w:rFonts w:cs="Times New Roman"/>
        </w:rPr>
        <w:t xml:space="preserve">2d 569 (Fla. App. 1985) (appeal by beneficiary's guardian); </w:t>
      </w:r>
      <w:r w:rsidRPr="001E1898">
        <w:rPr>
          <w:rFonts w:cs="Times New Roman"/>
          <w:i/>
          <w:iCs/>
        </w:rPr>
        <w:t>Brown's Appeal</w:t>
      </w:r>
      <w:r>
        <w:rPr>
          <w:rFonts w:cs="Times New Roman"/>
        </w:rPr>
        <w:t xml:space="preserve">, </w:t>
      </w:r>
      <w:r w:rsidRPr="00026CA7">
        <w:rPr>
          <w:rFonts w:cs="Times New Roman"/>
        </w:rPr>
        <w:t>345 Pa. 373</w:t>
      </w:r>
      <w:r>
        <w:rPr>
          <w:rFonts w:cs="Times New Roman"/>
        </w:rPr>
        <w:t>,</w:t>
      </w:r>
      <w:r w:rsidRPr="00026CA7">
        <w:rPr>
          <w:rFonts w:cs="Times New Roman"/>
        </w:rPr>
        <w:t xml:space="preserve"> </w:t>
      </w:r>
      <w:r>
        <w:rPr>
          <w:rFonts w:cs="Times New Roman"/>
        </w:rPr>
        <w:t>29 A.2d 52 (Pa. 1942)</w:t>
      </w:r>
      <w:r>
        <w:t xml:space="preserve"> (same).</w:t>
      </w:r>
      <w:proofErr w:type="gramEnd"/>
      <w:r>
        <w:t xml:space="preserve"> See discussion in Ivan </w:t>
      </w:r>
      <w:proofErr w:type="spellStart"/>
      <w:r>
        <w:t>Taback</w:t>
      </w:r>
      <w:proofErr w:type="spellEnd"/>
      <w:r>
        <w:t xml:space="preserve"> &amp; David Pratt, </w:t>
      </w:r>
      <w:r w:rsidRPr="005446EA">
        <w:rPr>
          <w:i/>
          <w:iCs/>
        </w:rPr>
        <w:t>When the Rubber Meets the Road: a Discussion Regarding a Trustee's Exercise of Discretion</w:t>
      </w:r>
      <w:r>
        <w:t xml:space="preserve">, 49 </w:t>
      </w:r>
      <w:r w:rsidRPr="00CC0355">
        <w:t xml:space="preserve">Real Prop. </w:t>
      </w:r>
      <w:proofErr w:type="gramStart"/>
      <w:r w:rsidRPr="00CC0355">
        <w:t>Tr. &amp; Est. L.J.</w:t>
      </w:r>
      <w:r>
        <w:t xml:space="preserve"> 491 (2015).</w:t>
      </w:r>
      <w:proofErr w:type="gramEnd"/>
    </w:p>
  </w:footnote>
  <w:footnote w:id="31">
    <w:p w14:paraId="74601A9B" w14:textId="1A4A2B6A" w:rsidR="004744E1" w:rsidRPr="008A4EDF" w:rsidRDefault="004744E1" w:rsidP="00543BA2">
      <w:pPr>
        <w:pStyle w:val="FootnoteText"/>
        <w:spacing w:line="360" w:lineRule="auto"/>
        <w:rPr>
          <w:rtl/>
          <w:lang w:val="en-GB"/>
        </w:rPr>
      </w:pPr>
      <w:r w:rsidRPr="00DF3410">
        <w:rPr>
          <w:vertAlign w:val="superscript"/>
        </w:rPr>
        <w:footnoteRef/>
      </w:r>
      <w:r>
        <w:t xml:space="preserve"> </w:t>
      </w:r>
      <w:proofErr w:type="gramStart"/>
      <w:r w:rsidR="00EF25AF" w:rsidRPr="00EF25AF">
        <w:rPr>
          <w:smallCaps/>
        </w:rPr>
        <w:t xml:space="preserve">Restatement (Third) of </w:t>
      </w:r>
      <w:r w:rsidR="00EF25AF">
        <w:rPr>
          <w:smallCaps/>
        </w:rPr>
        <w:t>T</w:t>
      </w:r>
      <w:r w:rsidR="00EF25AF" w:rsidRPr="00EF25AF">
        <w:rPr>
          <w:smallCaps/>
        </w:rPr>
        <w:t>rusts</w:t>
      </w:r>
      <w:r w:rsidR="00EF25AF" w:rsidRPr="00EF25AF">
        <w:t xml:space="preserve"> § 50 </w:t>
      </w:r>
      <w:proofErr w:type="spellStart"/>
      <w:r w:rsidR="00EF25AF" w:rsidRPr="00EF25AF">
        <w:t>cmt</w:t>
      </w:r>
      <w:proofErr w:type="spellEnd"/>
      <w:r w:rsidR="00EF25AF">
        <w:t>.</w:t>
      </w:r>
      <w:proofErr w:type="gramEnd"/>
      <w:r w:rsidR="00EF25AF" w:rsidRPr="00EF25AF">
        <w:t xml:space="preserve"> </w:t>
      </w:r>
      <w:proofErr w:type="gramStart"/>
      <w:r w:rsidR="00EF25AF" w:rsidRPr="00EF25AF">
        <w:t>b</w:t>
      </w:r>
      <w:proofErr w:type="gramEnd"/>
      <w:r w:rsidR="00EF25AF" w:rsidRPr="00EF25AF">
        <w:t xml:space="preserve"> (2001)</w:t>
      </w:r>
      <w:r w:rsidR="00823345">
        <w:t xml:space="preserve">; see also ibid., </w:t>
      </w:r>
      <w:r w:rsidR="00823345">
        <w:rPr>
          <w:rFonts w:ascii="David" w:hAnsi="David"/>
        </w:rPr>
        <w:t>§</w:t>
      </w:r>
      <w:r w:rsidR="008A4EDF">
        <w:t xml:space="preserve"> 87 (2007); </w:t>
      </w:r>
      <w:r w:rsidR="008A4EDF" w:rsidRPr="002740C8">
        <w:rPr>
          <w:smallCaps/>
        </w:rPr>
        <w:t xml:space="preserve">Mark </w:t>
      </w:r>
      <w:proofErr w:type="spellStart"/>
      <w:r w:rsidR="008A4EDF" w:rsidRPr="002740C8">
        <w:rPr>
          <w:smallCaps/>
        </w:rPr>
        <w:t>Ascher</w:t>
      </w:r>
      <w:proofErr w:type="spellEnd"/>
      <w:r w:rsidR="008A4EDF" w:rsidRPr="002740C8">
        <w:rPr>
          <w:smallCaps/>
        </w:rPr>
        <w:t xml:space="preserve"> &amp; Austin </w:t>
      </w:r>
      <w:proofErr w:type="spellStart"/>
      <w:r w:rsidR="008A4EDF" w:rsidRPr="002740C8">
        <w:rPr>
          <w:smallCaps/>
        </w:rPr>
        <w:t>Wakeman</w:t>
      </w:r>
      <w:proofErr w:type="spellEnd"/>
      <w:r w:rsidR="008A4EDF" w:rsidRPr="002740C8">
        <w:rPr>
          <w:smallCaps/>
        </w:rPr>
        <w:t xml:space="preserve"> Scott, Scott and </w:t>
      </w:r>
      <w:proofErr w:type="spellStart"/>
      <w:r w:rsidR="008A4EDF" w:rsidRPr="002740C8">
        <w:rPr>
          <w:smallCaps/>
        </w:rPr>
        <w:t>Ascher</w:t>
      </w:r>
      <w:proofErr w:type="spellEnd"/>
      <w:r w:rsidR="008A4EDF" w:rsidRPr="002740C8">
        <w:rPr>
          <w:smallCaps/>
        </w:rPr>
        <w:t xml:space="preserve"> on Trusts</w:t>
      </w:r>
      <w:r w:rsidR="008A4EDF" w:rsidRPr="003D5D4E">
        <w:rPr>
          <w:lang w:val="en-GB"/>
        </w:rPr>
        <w:t xml:space="preserve">, 5th </w:t>
      </w:r>
      <w:proofErr w:type="spellStart"/>
      <w:r w:rsidR="008A4EDF" w:rsidRPr="003D5D4E">
        <w:rPr>
          <w:lang w:val="en-GB"/>
        </w:rPr>
        <w:t>ed</w:t>
      </w:r>
      <w:proofErr w:type="spellEnd"/>
      <w:r w:rsidR="008A4EDF" w:rsidRPr="003D5D4E">
        <w:rPr>
          <w:lang w:val="en-GB"/>
        </w:rPr>
        <w:t xml:space="preserve"> (</w:t>
      </w:r>
      <w:r w:rsidR="008A4EDF">
        <w:rPr>
          <w:lang w:val="en-GB"/>
        </w:rPr>
        <w:t xml:space="preserve">New York: </w:t>
      </w:r>
      <w:r w:rsidR="008A4EDF" w:rsidRPr="003D5D4E">
        <w:rPr>
          <w:lang w:val="en-GB"/>
        </w:rPr>
        <w:t>Aspen</w:t>
      </w:r>
      <w:r w:rsidR="008A4EDF">
        <w:rPr>
          <w:lang w:val="en-GB"/>
        </w:rPr>
        <w:t xml:space="preserve"> Publishers</w:t>
      </w:r>
      <w:r w:rsidR="008A4EDF" w:rsidRPr="008A4EDF">
        <w:rPr>
          <w:lang w:val="en-GB"/>
        </w:rPr>
        <w:t>, 2010) §</w:t>
      </w:r>
      <w:r w:rsidR="004A29C0">
        <w:rPr>
          <w:lang w:val="en-GB"/>
        </w:rPr>
        <w:t xml:space="preserve"> 18.2.1</w:t>
      </w:r>
      <w:r w:rsidR="00543BA2">
        <w:rPr>
          <w:lang w:val="en-GB"/>
        </w:rPr>
        <w:t xml:space="preserve"> </w:t>
      </w:r>
      <w:r w:rsidR="00543BA2">
        <w:t xml:space="preserve">[hereinafter: </w:t>
      </w:r>
      <w:r w:rsidR="00543BA2" w:rsidRPr="003D5D4E">
        <w:rPr>
          <w:i/>
          <w:lang w:val="en-GB"/>
        </w:rPr>
        <w:t xml:space="preserve">Scott and </w:t>
      </w:r>
      <w:proofErr w:type="spellStart"/>
      <w:r w:rsidR="00543BA2" w:rsidRPr="003D5D4E">
        <w:rPr>
          <w:i/>
          <w:lang w:val="en-GB"/>
        </w:rPr>
        <w:t>Ascher</w:t>
      </w:r>
      <w:proofErr w:type="spellEnd"/>
      <w:r w:rsidR="00543BA2">
        <w:t>]</w:t>
      </w:r>
      <w:r w:rsidR="004A29C0">
        <w:rPr>
          <w:lang w:val="en-GB"/>
        </w:rPr>
        <w:t>.</w:t>
      </w:r>
    </w:p>
  </w:footnote>
  <w:footnote w:id="32">
    <w:p w14:paraId="7EB3ADB6" w14:textId="46326BD2" w:rsidR="00600695" w:rsidRDefault="00600695" w:rsidP="001132F9">
      <w:pPr>
        <w:pStyle w:val="FootnoteText"/>
        <w:spacing w:line="360" w:lineRule="auto"/>
      </w:pPr>
      <w:r>
        <w:rPr>
          <w:rStyle w:val="FootnoteReference"/>
        </w:rPr>
        <w:footnoteRef/>
      </w:r>
      <w:r>
        <w:t xml:space="preserve"> </w:t>
      </w:r>
      <w:proofErr w:type="gramStart"/>
      <w:r w:rsidR="00543BA2" w:rsidRPr="003D5D4E">
        <w:rPr>
          <w:i/>
          <w:lang w:val="en-GB"/>
        </w:rPr>
        <w:t xml:space="preserve">Scott and </w:t>
      </w:r>
      <w:proofErr w:type="spellStart"/>
      <w:r w:rsidR="00543BA2" w:rsidRPr="003D5D4E">
        <w:rPr>
          <w:i/>
          <w:lang w:val="en-GB"/>
        </w:rPr>
        <w:t>Ascher</w:t>
      </w:r>
      <w:proofErr w:type="spellEnd"/>
      <w:r w:rsidR="00543BA2">
        <w:t xml:space="preserve">, </w:t>
      </w:r>
      <w:r w:rsidR="00543BA2">
        <w:rPr>
          <w:rFonts w:ascii="David" w:hAnsi="David"/>
        </w:rPr>
        <w:t>§</w:t>
      </w:r>
      <w:r w:rsidR="00543BA2">
        <w:t xml:space="preserve"> 18.2.2.</w:t>
      </w:r>
      <w:proofErr w:type="gramEnd"/>
    </w:p>
  </w:footnote>
  <w:footnote w:id="33">
    <w:p w14:paraId="19C30382" w14:textId="64320660" w:rsidR="002C3FE7" w:rsidRDefault="002C3FE7" w:rsidP="002C3FE7">
      <w:pPr>
        <w:pStyle w:val="FootnoteText"/>
        <w:spacing w:line="360" w:lineRule="auto"/>
      </w:pPr>
      <w:r>
        <w:rPr>
          <w:rStyle w:val="FootnoteReference"/>
        </w:rPr>
        <w:footnoteRef/>
      </w:r>
      <w:r>
        <w:t xml:space="preserve"> For the concern expressed in Jersey see </w:t>
      </w:r>
      <w:r>
        <w:rPr>
          <w:rFonts w:hint="cs"/>
        </w:rPr>
        <w:t>H</w:t>
      </w:r>
      <w:r>
        <w:t xml:space="preserve">arriet Brown, </w:t>
      </w:r>
      <w:r>
        <w:rPr>
          <w:i/>
          <w:iCs/>
        </w:rPr>
        <w:t>The Development of Hastings-Bass in Jersey</w:t>
      </w:r>
      <w:r>
        <w:t xml:space="preserve">, STEP (May 2010), </w:t>
      </w:r>
      <w:hyperlink r:id="rId3" w:history="1">
        <w:r w:rsidRPr="00950A6F">
          <w:rPr>
            <w:rStyle w:val="Hyperlink"/>
          </w:rPr>
          <w:t>http://www.step.org/development-hastings-bass-jersey</w:t>
        </w:r>
      </w:hyperlink>
      <w:r>
        <w:t>;</w:t>
      </w:r>
      <w:r>
        <w:rPr>
          <w:rFonts w:hint="cs"/>
          <w:rtl/>
        </w:rPr>
        <w:t xml:space="preserve"> </w:t>
      </w:r>
      <w:r>
        <w:rPr>
          <w:rFonts w:hint="cs"/>
        </w:rPr>
        <w:t>W</w:t>
      </w:r>
      <w:r>
        <w:t xml:space="preserve">illiam Redgrave, </w:t>
      </w:r>
      <w:r>
        <w:rPr>
          <w:i/>
          <w:iCs/>
        </w:rPr>
        <w:t>Leviathan Can Look After Himself: Jersey Legislated on Mistake and Hastings-Bass</w:t>
      </w:r>
      <w:r>
        <w:t xml:space="preserve">, 2 </w:t>
      </w:r>
      <w:r w:rsidRPr="0084435C">
        <w:rPr>
          <w:smallCaps/>
        </w:rPr>
        <w:t>Private Client Bus.</w:t>
      </w:r>
      <w:r>
        <w:t xml:space="preserve"> </w:t>
      </w:r>
      <w:proofErr w:type="gramStart"/>
      <w:r>
        <w:t>92, 92–93 (2014)</w:t>
      </w:r>
      <w:r>
        <w:rPr>
          <w:rFonts w:hint="cs"/>
          <w:i/>
          <w:iCs/>
          <w:rtl/>
        </w:rPr>
        <w:t>.</w:t>
      </w:r>
      <w:proofErr w:type="gramEnd"/>
    </w:p>
  </w:footnote>
  <w:footnote w:id="34">
    <w:p w14:paraId="31AD31F4" w14:textId="3ECF9B5F" w:rsidR="003F7CB2" w:rsidRPr="00646892" w:rsidRDefault="003F7CB2" w:rsidP="002F789D">
      <w:pPr>
        <w:pStyle w:val="FootnoteText"/>
        <w:spacing w:line="360" w:lineRule="auto"/>
      </w:pPr>
      <w:r>
        <w:rPr>
          <w:rStyle w:val="FootnoteReference"/>
        </w:rPr>
        <w:footnoteRef/>
      </w:r>
      <w:r>
        <w:t xml:space="preserve"> </w:t>
      </w:r>
      <w:proofErr w:type="gramStart"/>
      <w:r>
        <w:rPr>
          <w:i/>
          <w:iCs/>
        </w:rPr>
        <w:t>Re the Winton Investment</w:t>
      </w:r>
      <w:r>
        <w:t>, [2007] J.R.C. 206 (Jersey).</w:t>
      </w:r>
      <w:proofErr w:type="gramEnd"/>
      <w:r>
        <w:t xml:space="preserve"> Attempts to expand the ambit of the English Rule to </w:t>
      </w:r>
      <w:r w:rsidR="002F789D">
        <w:t>dispositions</w:t>
      </w:r>
      <w:r>
        <w:t xml:space="preserve"> undertaken by a settlor who did not </w:t>
      </w:r>
      <w:r w:rsidR="007E2DAB">
        <w:t xml:space="preserve">also </w:t>
      </w:r>
      <w:r>
        <w:t xml:space="preserve">serve as trustee were ruled out by English courts: </w:t>
      </w:r>
      <w:r w:rsidRPr="007E2DAB">
        <w:rPr>
          <w:i/>
          <w:iCs/>
        </w:rPr>
        <w:t>Smithson v. Hamilton</w:t>
      </w:r>
      <w:r>
        <w:t xml:space="preserve">, [2008] 1 W.L.R. 1453. </w:t>
      </w:r>
    </w:p>
  </w:footnote>
  <w:footnote w:id="35">
    <w:p w14:paraId="5C6232D5" w14:textId="77777777" w:rsidR="003F7CB2" w:rsidRPr="0017074D" w:rsidRDefault="003F7CB2" w:rsidP="00444865">
      <w:pPr>
        <w:pStyle w:val="FootnoteText"/>
        <w:spacing w:line="360" w:lineRule="auto"/>
      </w:pPr>
      <w:r>
        <w:rPr>
          <w:rStyle w:val="FootnoteReference"/>
        </w:rPr>
        <w:footnoteRef/>
      </w:r>
      <w:r>
        <w:t xml:space="preserve"> </w:t>
      </w:r>
      <w:proofErr w:type="gramStart"/>
      <w:r>
        <w:rPr>
          <w:i/>
          <w:iCs/>
        </w:rPr>
        <w:t xml:space="preserve">Re Seaton Trustees Ltd., </w:t>
      </w:r>
      <w:r>
        <w:t>[2009] J.R.C. 50 (Jersey).</w:t>
      </w:r>
      <w:proofErr w:type="gramEnd"/>
      <w:r>
        <w:t xml:space="preserve"> </w:t>
      </w:r>
    </w:p>
  </w:footnote>
  <w:footnote w:id="36">
    <w:p w14:paraId="3E450360" w14:textId="2451CB86" w:rsidR="003F7CB2" w:rsidRPr="0017074D" w:rsidRDefault="003F7CB2" w:rsidP="00444865">
      <w:pPr>
        <w:pStyle w:val="FootnoteText"/>
        <w:spacing w:line="360" w:lineRule="auto"/>
      </w:pPr>
      <w:r>
        <w:rPr>
          <w:rStyle w:val="FootnoteReference"/>
        </w:rPr>
        <w:footnoteRef/>
      </w:r>
      <w:r>
        <w:t xml:space="preserve"> </w:t>
      </w:r>
      <w:r>
        <w:rPr>
          <w:i/>
          <w:iCs/>
        </w:rPr>
        <w:t>In the Matter of the Ta-Ming Wang Trust</w:t>
      </w:r>
      <w:r>
        <w:t>, [2010] 1 C.I.L.R. 541</w:t>
      </w:r>
      <w:r w:rsidR="007E2DAB">
        <w:t xml:space="preserve"> (Cayman Islands)</w:t>
      </w:r>
      <w:r>
        <w:t>; Christopher Russell and Rachael Reynolds,</w:t>
      </w:r>
      <w:r>
        <w:rPr>
          <w:i/>
          <w:iCs/>
        </w:rPr>
        <w:t xml:space="preserve"> Applicability of the Hastings-Bass Principle to the Payment of Dividends by a Trust Company into the Trust</w:t>
      </w:r>
      <w:r>
        <w:t xml:space="preserve">, 16 </w:t>
      </w:r>
      <w:r w:rsidRPr="00AC25F8">
        <w:rPr>
          <w:smallCaps/>
        </w:rPr>
        <w:t>Trusts &amp; Trustees</w:t>
      </w:r>
      <w:r>
        <w:t xml:space="preserve"> 595, 596 (2010).</w:t>
      </w:r>
    </w:p>
  </w:footnote>
  <w:footnote w:id="37">
    <w:p w14:paraId="789F4639" w14:textId="77777777" w:rsidR="003F7CB2" w:rsidRPr="008B06EA" w:rsidRDefault="003F7CB2" w:rsidP="00444865">
      <w:pPr>
        <w:pStyle w:val="FootnoteText"/>
        <w:spacing w:line="360" w:lineRule="auto"/>
      </w:pPr>
      <w:r>
        <w:rPr>
          <w:rStyle w:val="FootnoteReference"/>
        </w:rPr>
        <w:footnoteRef/>
      </w:r>
      <w:r>
        <w:t xml:space="preserve"> </w:t>
      </w:r>
      <w:proofErr w:type="gramStart"/>
      <w:r>
        <w:t>Trusts (Amendment No. 6) (Jersey) Law 2013.</w:t>
      </w:r>
      <w:proofErr w:type="gramEnd"/>
      <w:r>
        <w:t xml:space="preserve"> </w:t>
      </w:r>
    </w:p>
  </w:footnote>
  <w:footnote w:id="38">
    <w:p w14:paraId="1155FC6F" w14:textId="77777777" w:rsidR="003F7CB2" w:rsidRDefault="003F7CB2" w:rsidP="00A41219">
      <w:pPr>
        <w:pStyle w:val="FootnoteText"/>
        <w:spacing w:line="360" w:lineRule="auto"/>
      </w:pPr>
      <w:r>
        <w:rPr>
          <w:rStyle w:val="FootnoteReference"/>
        </w:rPr>
        <w:footnoteRef/>
      </w:r>
      <w:r>
        <w:t xml:space="preserve"> Trustee Amendment Act 2014 (Berm.). </w:t>
      </w:r>
    </w:p>
  </w:footnote>
  <w:footnote w:id="39">
    <w:p w14:paraId="11A836B1" w14:textId="4E24377C" w:rsidR="00A92F3B" w:rsidRDefault="00A92F3B" w:rsidP="00A41219">
      <w:pPr>
        <w:pStyle w:val="FootnoteText"/>
        <w:spacing w:line="360" w:lineRule="auto"/>
      </w:pPr>
      <w:r>
        <w:rPr>
          <w:rStyle w:val="FootnoteReference"/>
        </w:rPr>
        <w:footnoteRef/>
      </w:r>
      <w:r>
        <w:t xml:space="preserve"> Trusts (Jersey) Law 1984 (as amended 2015), </w:t>
      </w:r>
      <w:r w:rsidR="00CF13F1">
        <w:t xml:space="preserve">s. </w:t>
      </w:r>
      <w:proofErr w:type="gramStart"/>
      <w:r w:rsidR="00CF13F1">
        <w:t>47I(</w:t>
      </w:r>
      <w:proofErr w:type="gramEnd"/>
      <w:r w:rsidR="00CF13F1">
        <w:t>1).</w:t>
      </w:r>
    </w:p>
  </w:footnote>
  <w:footnote w:id="40">
    <w:p w14:paraId="18DB9B24" w14:textId="5B34553D" w:rsidR="00CF13F1" w:rsidRDefault="00CF13F1" w:rsidP="00A41219">
      <w:pPr>
        <w:pStyle w:val="FootnoteText"/>
        <w:spacing w:line="360" w:lineRule="auto"/>
      </w:pPr>
      <w:r>
        <w:rPr>
          <w:rStyle w:val="FootnoteReference"/>
        </w:rPr>
        <w:footnoteRef/>
      </w:r>
      <w:r>
        <w:t xml:space="preserve"> Id., s. </w:t>
      </w:r>
      <w:proofErr w:type="gramStart"/>
      <w:r>
        <w:t>4</w:t>
      </w:r>
      <w:r w:rsidR="00743C77">
        <w:t>7E(</w:t>
      </w:r>
      <w:proofErr w:type="gramEnd"/>
      <w:r w:rsidR="00743C77">
        <w:t>2); the additions in square brackets reflect the contents of s. 47B(1)(a).</w:t>
      </w:r>
    </w:p>
  </w:footnote>
  <w:footnote w:id="41">
    <w:p w14:paraId="3241B5CE" w14:textId="5910DC08" w:rsidR="00CF13F1" w:rsidRDefault="00CF13F1" w:rsidP="00A41219">
      <w:pPr>
        <w:pStyle w:val="FootnoteText"/>
        <w:spacing w:line="360" w:lineRule="auto"/>
      </w:pPr>
      <w:r>
        <w:rPr>
          <w:rStyle w:val="FootnoteReference"/>
        </w:rPr>
        <w:footnoteRef/>
      </w:r>
      <w:r>
        <w:t xml:space="preserve"> Id., s. </w:t>
      </w:r>
      <w:proofErr w:type="gramStart"/>
      <w:r>
        <w:t>4</w:t>
      </w:r>
      <w:r w:rsidR="00743C77">
        <w:t>7E(</w:t>
      </w:r>
      <w:proofErr w:type="gramEnd"/>
      <w:r w:rsidR="00743C77">
        <w:t>1); s. 47B(1)(b) provides that "</w:t>
      </w:r>
      <w:r w:rsidR="00743C77" w:rsidRPr="00743C77">
        <w:t>“power” includes a discretion as to the way in which an obligation is performed".</w:t>
      </w:r>
    </w:p>
  </w:footnote>
  <w:footnote w:id="42">
    <w:p w14:paraId="4C52A243" w14:textId="0682F7E7" w:rsidR="00CF13F1" w:rsidRDefault="00CF13F1" w:rsidP="00A41219">
      <w:pPr>
        <w:pStyle w:val="FootnoteText"/>
        <w:spacing w:line="360" w:lineRule="auto"/>
      </w:pPr>
      <w:r>
        <w:rPr>
          <w:rStyle w:val="FootnoteReference"/>
        </w:rPr>
        <w:footnoteRef/>
      </w:r>
      <w:r>
        <w:t xml:space="preserve"> Id., s. </w:t>
      </w:r>
      <w:proofErr w:type="gramStart"/>
      <w:r>
        <w:t>47E(</w:t>
      </w:r>
      <w:proofErr w:type="gramEnd"/>
      <w:r>
        <w:t>2).</w:t>
      </w:r>
    </w:p>
  </w:footnote>
  <w:footnote w:id="43">
    <w:p w14:paraId="2A4EC8E7" w14:textId="5A879EFE" w:rsidR="00CF13F1" w:rsidRDefault="00CF13F1" w:rsidP="00A41219">
      <w:pPr>
        <w:pStyle w:val="FootnoteText"/>
        <w:spacing w:line="360" w:lineRule="auto"/>
      </w:pPr>
      <w:r>
        <w:rPr>
          <w:rStyle w:val="FootnoteReference"/>
        </w:rPr>
        <w:footnoteRef/>
      </w:r>
      <w:r>
        <w:t xml:space="preserve"> Id., s. </w:t>
      </w:r>
      <w:proofErr w:type="gramStart"/>
      <w:r>
        <w:t>47E(</w:t>
      </w:r>
      <w:proofErr w:type="gramEnd"/>
      <w:r>
        <w:t>3).</w:t>
      </w:r>
    </w:p>
  </w:footnote>
  <w:footnote w:id="44">
    <w:p w14:paraId="607C9029" w14:textId="72B02414" w:rsidR="00C21D28" w:rsidRDefault="00C21D28" w:rsidP="00A41219">
      <w:pPr>
        <w:pStyle w:val="FootnoteText"/>
        <w:spacing w:line="360" w:lineRule="auto"/>
      </w:pPr>
      <w:r>
        <w:rPr>
          <w:rStyle w:val="FootnoteReference"/>
        </w:rPr>
        <w:footnoteRef/>
      </w:r>
      <w:r>
        <w:t xml:space="preserve"> Id., s. </w:t>
      </w:r>
      <w:proofErr w:type="gramStart"/>
      <w:r>
        <w:t>47B(</w:t>
      </w:r>
      <w:proofErr w:type="gramEnd"/>
      <w:r>
        <w:t>2).</w:t>
      </w:r>
    </w:p>
  </w:footnote>
  <w:footnote w:id="45">
    <w:p w14:paraId="5ECEFD77" w14:textId="6638DDDE" w:rsidR="00800FB8" w:rsidRDefault="00800FB8" w:rsidP="00A41219">
      <w:pPr>
        <w:pStyle w:val="FootnoteText"/>
        <w:spacing w:line="360" w:lineRule="auto"/>
        <w:rPr>
          <w:rtl/>
        </w:rPr>
      </w:pPr>
      <w:r>
        <w:rPr>
          <w:rStyle w:val="FootnoteReference"/>
        </w:rPr>
        <w:footnoteRef/>
      </w:r>
      <w:r>
        <w:t xml:space="preserve"> </w:t>
      </w:r>
      <w:proofErr w:type="gramStart"/>
      <w:r>
        <w:t>Id., s. 47G.</w:t>
      </w:r>
      <w:proofErr w:type="gramEnd"/>
    </w:p>
  </w:footnote>
  <w:footnote w:id="46">
    <w:p w14:paraId="3704DB94" w14:textId="53513DF8" w:rsidR="007F1C2A" w:rsidRDefault="007F1C2A" w:rsidP="00A41219">
      <w:pPr>
        <w:pStyle w:val="FootnoteText"/>
        <w:spacing w:line="360" w:lineRule="auto"/>
      </w:pPr>
      <w:r>
        <w:rPr>
          <w:rStyle w:val="FootnoteReference"/>
        </w:rPr>
        <w:footnoteRef/>
      </w:r>
      <w:r>
        <w:t xml:space="preserve"> Id., s. 47</w:t>
      </w:r>
    </w:p>
  </w:footnote>
  <w:footnote w:id="47">
    <w:p w14:paraId="2AAB1F7B" w14:textId="21C13B6D" w:rsidR="000A6F7A" w:rsidRDefault="000A6F7A" w:rsidP="00A41219">
      <w:pPr>
        <w:pStyle w:val="FootnoteText"/>
        <w:spacing w:line="360" w:lineRule="auto"/>
      </w:pPr>
      <w:r>
        <w:rPr>
          <w:rStyle w:val="FootnoteReference"/>
        </w:rPr>
        <w:footnoteRef/>
      </w:r>
      <w:r>
        <w:t xml:space="preserve"> Id., s. </w:t>
      </w:r>
      <w:proofErr w:type="gramStart"/>
      <w:r>
        <w:t>47F(</w:t>
      </w:r>
      <w:proofErr w:type="gramEnd"/>
      <w:r>
        <w:t xml:space="preserve">3). </w:t>
      </w:r>
    </w:p>
  </w:footnote>
  <w:footnote w:id="48">
    <w:p w14:paraId="5D584945" w14:textId="5C7CA243" w:rsidR="006B4AFB" w:rsidRDefault="006B4AFB" w:rsidP="00A41219">
      <w:pPr>
        <w:pStyle w:val="FootnoteText"/>
        <w:spacing w:line="360" w:lineRule="auto"/>
      </w:pPr>
      <w:r>
        <w:rPr>
          <w:rStyle w:val="FootnoteReference"/>
        </w:rPr>
        <w:footnoteRef/>
      </w:r>
      <w:r>
        <w:t xml:space="preserve"> Id., s. 47H; the quote is from s. </w:t>
      </w:r>
      <w:proofErr w:type="gramStart"/>
      <w:r>
        <w:t>47H(</w:t>
      </w:r>
      <w:proofErr w:type="gramEnd"/>
      <w:r>
        <w:t>1).</w:t>
      </w:r>
    </w:p>
  </w:footnote>
  <w:footnote w:id="49">
    <w:p w14:paraId="40B0941E" w14:textId="77777777" w:rsidR="006B4AFB" w:rsidRDefault="006B4AFB" w:rsidP="00E434B1">
      <w:pPr>
        <w:pStyle w:val="FootnoteText"/>
        <w:spacing w:line="360" w:lineRule="auto"/>
      </w:pPr>
      <w:r>
        <w:rPr>
          <w:rStyle w:val="FootnoteReference"/>
        </w:rPr>
        <w:footnoteRef/>
      </w:r>
      <w:r>
        <w:t xml:space="preserve"> Id., s. </w:t>
      </w:r>
      <w:proofErr w:type="gramStart"/>
      <w:r>
        <w:t>47F(</w:t>
      </w:r>
      <w:proofErr w:type="gramEnd"/>
      <w:r>
        <w:t>4).</w:t>
      </w:r>
    </w:p>
  </w:footnote>
  <w:footnote w:id="50">
    <w:p w14:paraId="43CE2CA2" w14:textId="74E87239" w:rsidR="002C0C07" w:rsidRDefault="002C0C07" w:rsidP="00E434B1">
      <w:pPr>
        <w:pStyle w:val="FootnoteText"/>
        <w:spacing w:line="360" w:lineRule="auto"/>
      </w:pPr>
      <w:r>
        <w:rPr>
          <w:rStyle w:val="FootnoteReference"/>
        </w:rPr>
        <w:footnoteRef/>
      </w:r>
      <w:r w:rsidR="005646A2">
        <w:t xml:space="preserve"> Trustee Act 1975 (Bermuda)</w:t>
      </w:r>
      <w:r>
        <w:t xml:space="preserve"> </w:t>
      </w:r>
      <w:r w:rsidR="005646A2">
        <w:t>(as amended 2014)</w:t>
      </w:r>
      <w:r>
        <w:t xml:space="preserve"> s. </w:t>
      </w:r>
      <w:proofErr w:type="gramStart"/>
      <w:r>
        <w:t>47A(</w:t>
      </w:r>
      <w:proofErr w:type="gramEnd"/>
      <w:r>
        <w:t>1)-(2).</w:t>
      </w:r>
    </w:p>
  </w:footnote>
  <w:footnote w:id="51">
    <w:p w14:paraId="1A5B9DC6" w14:textId="6F7C4410" w:rsidR="002C0C07" w:rsidRDefault="002C0C07" w:rsidP="00E434B1">
      <w:pPr>
        <w:pStyle w:val="FootnoteText"/>
        <w:spacing w:line="360" w:lineRule="auto"/>
      </w:pPr>
      <w:r>
        <w:rPr>
          <w:rStyle w:val="FootnoteReference"/>
        </w:rPr>
        <w:footnoteRef/>
      </w:r>
      <w:r>
        <w:t xml:space="preserve"> Id., s. </w:t>
      </w:r>
      <w:proofErr w:type="gramStart"/>
      <w:r>
        <w:t>47A(</w:t>
      </w:r>
      <w:proofErr w:type="gramEnd"/>
      <w:r>
        <w:t>3).</w:t>
      </w:r>
    </w:p>
  </w:footnote>
  <w:footnote w:id="52">
    <w:p w14:paraId="3952D6DD" w14:textId="1565BD89" w:rsidR="002C0C07" w:rsidRDefault="002C0C07" w:rsidP="00E434B1">
      <w:pPr>
        <w:pStyle w:val="FootnoteText"/>
        <w:spacing w:line="360" w:lineRule="auto"/>
      </w:pPr>
      <w:r>
        <w:rPr>
          <w:rStyle w:val="FootnoteReference"/>
        </w:rPr>
        <w:footnoteRef/>
      </w:r>
      <w:r>
        <w:t xml:space="preserve"> Id., s. </w:t>
      </w:r>
      <w:proofErr w:type="gramStart"/>
      <w:r>
        <w:t>47A(</w:t>
      </w:r>
      <w:proofErr w:type="gramEnd"/>
      <w:r>
        <w:t xml:space="preserve">4). </w:t>
      </w:r>
    </w:p>
  </w:footnote>
  <w:footnote w:id="53">
    <w:p w14:paraId="1BE9883E" w14:textId="0285CC5E" w:rsidR="00E434B1" w:rsidRDefault="00E434B1" w:rsidP="00E434B1">
      <w:pPr>
        <w:pStyle w:val="FootnoteText"/>
        <w:spacing w:line="360" w:lineRule="auto"/>
      </w:pPr>
      <w:r>
        <w:rPr>
          <w:rStyle w:val="FootnoteReference"/>
        </w:rPr>
        <w:footnoteRef/>
      </w:r>
      <w:r>
        <w:t xml:space="preserve"> Id., s. </w:t>
      </w:r>
      <w:proofErr w:type="gramStart"/>
      <w:r>
        <w:t>47A(</w:t>
      </w:r>
      <w:proofErr w:type="gramEnd"/>
      <w:r>
        <w:t>5).</w:t>
      </w:r>
    </w:p>
  </w:footnote>
  <w:footnote w:id="54">
    <w:p w14:paraId="2AC1EE3D" w14:textId="77777777" w:rsidR="003F7CB2" w:rsidRPr="004D54A5" w:rsidRDefault="003F7CB2" w:rsidP="00E434B1">
      <w:pPr>
        <w:pStyle w:val="FootnoteText"/>
        <w:spacing w:line="360" w:lineRule="auto"/>
      </w:pPr>
      <w:r>
        <w:rPr>
          <w:rStyle w:val="FootnoteReference"/>
        </w:rPr>
        <w:footnoteRef/>
      </w:r>
      <w:r>
        <w:t xml:space="preserve"> </w:t>
      </w:r>
      <w:proofErr w:type="gramStart"/>
      <w:r>
        <w:t xml:space="preserve">Michael Furness &amp; Tiffany Scott, </w:t>
      </w:r>
      <w:r>
        <w:rPr>
          <w:i/>
          <w:iCs/>
        </w:rPr>
        <w:t>In the Post-Pitt World…</w:t>
      </w:r>
      <w:r>
        <w:t xml:space="preserve"> 20 </w:t>
      </w:r>
      <w:r w:rsidRPr="00560319">
        <w:rPr>
          <w:smallCaps/>
        </w:rPr>
        <w:t>Trusts &amp; Trustees</w:t>
      </w:r>
      <w:r>
        <w:t xml:space="preserve"> 871, 879 (2014).</w:t>
      </w:r>
      <w:proofErr w:type="gramEnd"/>
      <w:r>
        <w:t xml:space="preserve"> </w:t>
      </w:r>
    </w:p>
  </w:footnote>
  <w:footnote w:id="55">
    <w:p w14:paraId="6CDD71AD" w14:textId="77777777" w:rsidR="003F7CB2" w:rsidRDefault="003F7CB2" w:rsidP="00E434B1">
      <w:pPr>
        <w:pStyle w:val="FootnoteText"/>
        <w:spacing w:line="360" w:lineRule="auto"/>
      </w:pPr>
      <w:r>
        <w:rPr>
          <w:rStyle w:val="FootnoteReference"/>
        </w:rPr>
        <w:footnoteRef/>
      </w:r>
      <w:r>
        <w:t xml:space="preserve"> </w:t>
      </w:r>
      <w:proofErr w:type="spellStart"/>
      <w:proofErr w:type="gramStart"/>
      <w:r w:rsidRPr="004D54A5">
        <w:rPr>
          <w:smallCaps/>
        </w:rPr>
        <w:t>Scot.</w:t>
      </w:r>
      <w:proofErr w:type="spellEnd"/>
      <w:proofErr w:type="gramEnd"/>
      <w:r w:rsidRPr="004D54A5">
        <w:rPr>
          <w:smallCaps/>
        </w:rPr>
        <w:t xml:space="preserve"> Law Com. No.</w:t>
      </w:r>
      <w:r>
        <w:t xml:space="preserve"> </w:t>
      </w:r>
      <w:proofErr w:type="gramStart"/>
      <w:r>
        <w:t>239 (2014).</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1085"/>
      <w:docPartObj>
        <w:docPartGallery w:val="Page Numbers (Top of Page)"/>
        <w:docPartUnique/>
      </w:docPartObj>
    </w:sdtPr>
    <w:sdtEndPr>
      <w:rPr>
        <w:noProof/>
      </w:rPr>
    </w:sdtEndPr>
    <w:sdtContent>
      <w:p w14:paraId="1F3B8949" w14:textId="28B04FD9" w:rsidR="001012BC" w:rsidRDefault="001012BC">
        <w:pPr>
          <w:pStyle w:val="Header"/>
          <w:jc w:val="center"/>
        </w:pPr>
        <w:r>
          <w:fldChar w:fldCharType="begin"/>
        </w:r>
        <w:r>
          <w:instrText xml:space="preserve"> PAGE   \* MERGEFORMAT </w:instrText>
        </w:r>
        <w:r>
          <w:fldChar w:fldCharType="separate"/>
        </w:r>
        <w:r w:rsidR="008B07E1">
          <w:rPr>
            <w:noProof/>
          </w:rPr>
          <w:t>13</w:t>
        </w:r>
        <w:r>
          <w:rPr>
            <w:noProof/>
          </w:rPr>
          <w:fldChar w:fldCharType="end"/>
        </w:r>
      </w:p>
    </w:sdtContent>
  </w:sdt>
  <w:p w14:paraId="10D95769" w14:textId="77777777" w:rsidR="001012BC" w:rsidRDefault="00101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F50"/>
    <w:multiLevelType w:val="hybridMultilevel"/>
    <w:tmpl w:val="1D0E05C0"/>
    <w:lvl w:ilvl="0" w:tplc="0804C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E1806"/>
    <w:multiLevelType w:val="hybridMultilevel"/>
    <w:tmpl w:val="0CCA1DB8"/>
    <w:lvl w:ilvl="0" w:tplc="FC60733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A0AD7"/>
    <w:multiLevelType w:val="hybridMultilevel"/>
    <w:tmpl w:val="023C3B02"/>
    <w:lvl w:ilvl="0" w:tplc="E5A2F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DE43FB"/>
    <w:multiLevelType w:val="hybridMultilevel"/>
    <w:tmpl w:val="C31A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4BC"/>
    <w:multiLevelType w:val="hybridMultilevel"/>
    <w:tmpl w:val="FDF68AB8"/>
    <w:lvl w:ilvl="0" w:tplc="1DEA1CE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d Weiss">
    <w15:presenceInfo w15:providerId="Windows Live" w15:userId="1f0396df638d8e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ITRUS_DOC_GUID" w:val="b4adf0a5-ca36-445b-abcc-1135610be674"/>
  </w:docVars>
  <w:rsids>
    <w:rsidRoot w:val="00BC355A"/>
    <w:rsid w:val="00021F79"/>
    <w:rsid w:val="00024E5A"/>
    <w:rsid w:val="000313DF"/>
    <w:rsid w:val="000314D9"/>
    <w:rsid w:val="000375EA"/>
    <w:rsid w:val="000405AD"/>
    <w:rsid w:val="00090C98"/>
    <w:rsid w:val="00093997"/>
    <w:rsid w:val="000A6F7A"/>
    <w:rsid w:val="000B1209"/>
    <w:rsid w:val="000B444F"/>
    <w:rsid w:val="000D6842"/>
    <w:rsid w:val="000F3672"/>
    <w:rsid w:val="000F504F"/>
    <w:rsid w:val="001012BC"/>
    <w:rsid w:val="00106056"/>
    <w:rsid w:val="001113EC"/>
    <w:rsid w:val="00111A99"/>
    <w:rsid w:val="001132F9"/>
    <w:rsid w:val="00130380"/>
    <w:rsid w:val="00132167"/>
    <w:rsid w:val="00145267"/>
    <w:rsid w:val="001621F5"/>
    <w:rsid w:val="00166E9A"/>
    <w:rsid w:val="0017074D"/>
    <w:rsid w:val="001740F7"/>
    <w:rsid w:val="00180D46"/>
    <w:rsid w:val="00192609"/>
    <w:rsid w:val="001A79D9"/>
    <w:rsid w:val="001D395D"/>
    <w:rsid w:val="001D3E5E"/>
    <w:rsid w:val="001E1898"/>
    <w:rsid w:val="001E58D9"/>
    <w:rsid w:val="001F2B66"/>
    <w:rsid w:val="00221268"/>
    <w:rsid w:val="002213F1"/>
    <w:rsid w:val="0022251E"/>
    <w:rsid w:val="00227F9C"/>
    <w:rsid w:val="00234F8D"/>
    <w:rsid w:val="0025040D"/>
    <w:rsid w:val="00251D84"/>
    <w:rsid w:val="00261657"/>
    <w:rsid w:val="00267210"/>
    <w:rsid w:val="002740C8"/>
    <w:rsid w:val="00274A30"/>
    <w:rsid w:val="00287482"/>
    <w:rsid w:val="00291F30"/>
    <w:rsid w:val="00296888"/>
    <w:rsid w:val="00297D5B"/>
    <w:rsid w:val="002B32E9"/>
    <w:rsid w:val="002B6A55"/>
    <w:rsid w:val="002C0C07"/>
    <w:rsid w:val="002C3FE7"/>
    <w:rsid w:val="002C4559"/>
    <w:rsid w:val="002D5613"/>
    <w:rsid w:val="002D7096"/>
    <w:rsid w:val="002E0228"/>
    <w:rsid w:val="002E63D1"/>
    <w:rsid w:val="002F789D"/>
    <w:rsid w:val="0031727C"/>
    <w:rsid w:val="003472E5"/>
    <w:rsid w:val="003504E3"/>
    <w:rsid w:val="0035175A"/>
    <w:rsid w:val="00356E14"/>
    <w:rsid w:val="003619EB"/>
    <w:rsid w:val="003704A5"/>
    <w:rsid w:val="003803B6"/>
    <w:rsid w:val="00381049"/>
    <w:rsid w:val="003839CB"/>
    <w:rsid w:val="0039211F"/>
    <w:rsid w:val="003B25CC"/>
    <w:rsid w:val="003C1425"/>
    <w:rsid w:val="003C174F"/>
    <w:rsid w:val="003D66FC"/>
    <w:rsid w:val="003D7A46"/>
    <w:rsid w:val="003F0778"/>
    <w:rsid w:val="003F17FA"/>
    <w:rsid w:val="003F6A79"/>
    <w:rsid w:val="003F72E1"/>
    <w:rsid w:val="003F7CB2"/>
    <w:rsid w:val="00407563"/>
    <w:rsid w:val="00435266"/>
    <w:rsid w:val="00435C27"/>
    <w:rsid w:val="004360D4"/>
    <w:rsid w:val="00442DD2"/>
    <w:rsid w:val="00444865"/>
    <w:rsid w:val="00446422"/>
    <w:rsid w:val="00450CA5"/>
    <w:rsid w:val="00463837"/>
    <w:rsid w:val="004669A1"/>
    <w:rsid w:val="004728F6"/>
    <w:rsid w:val="004744E1"/>
    <w:rsid w:val="00477D46"/>
    <w:rsid w:val="00486A55"/>
    <w:rsid w:val="0049739C"/>
    <w:rsid w:val="004A0069"/>
    <w:rsid w:val="004A0EF9"/>
    <w:rsid w:val="004A16CE"/>
    <w:rsid w:val="004A29C0"/>
    <w:rsid w:val="004A3DE2"/>
    <w:rsid w:val="004A6549"/>
    <w:rsid w:val="004A77E5"/>
    <w:rsid w:val="004B1E7A"/>
    <w:rsid w:val="004B4D4F"/>
    <w:rsid w:val="004C4FAE"/>
    <w:rsid w:val="004D5409"/>
    <w:rsid w:val="004D54A5"/>
    <w:rsid w:val="004E4B4E"/>
    <w:rsid w:val="004F0F4D"/>
    <w:rsid w:val="00507ED7"/>
    <w:rsid w:val="00515DE3"/>
    <w:rsid w:val="0051694A"/>
    <w:rsid w:val="00542D33"/>
    <w:rsid w:val="00543BA2"/>
    <w:rsid w:val="005446EA"/>
    <w:rsid w:val="00560319"/>
    <w:rsid w:val="00560C0D"/>
    <w:rsid w:val="0056384D"/>
    <w:rsid w:val="005646A2"/>
    <w:rsid w:val="00570B25"/>
    <w:rsid w:val="005732B0"/>
    <w:rsid w:val="00581FEB"/>
    <w:rsid w:val="005A22EA"/>
    <w:rsid w:val="005A77D1"/>
    <w:rsid w:val="005A7CEE"/>
    <w:rsid w:val="005F5A15"/>
    <w:rsid w:val="00600695"/>
    <w:rsid w:val="00603F7E"/>
    <w:rsid w:val="00615CD1"/>
    <w:rsid w:val="00620616"/>
    <w:rsid w:val="00623977"/>
    <w:rsid w:val="00630808"/>
    <w:rsid w:val="00632BFE"/>
    <w:rsid w:val="00633409"/>
    <w:rsid w:val="00635208"/>
    <w:rsid w:val="00635DD6"/>
    <w:rsid w:val="0064434E"/>
    <w:rsid w:val="006444D7"/>
    <w:rsid w:val="00646892"/>
    <w:rsid w:val="00650ABB"/>
    <w:rsid w:val="00667853"/>
    <w:rsid w:val="00677F4D"/>
    <w:rsid w:val="006807A5"/>
    <w:rsid w:val="00681EB5"/>
    <w:rsid w:val="006835F7"/>
    <w:rsid w:val="006A0F85"/>
    <w:rsid w:val="006A3BD2"/>
    <w:rsid w:val="006A3CA6"/>
    <w:rsid w:val="006B4AFB"/>
    <w:rsid w:val="006C1ED4"/>
    <w:rsid w:val="006C268E"/>
    <w:rsid w:val="006D6296"/>
    <w:rsid w:val="006E34EE"/>
    <w:rsid w:val="006E72C8"/>
    <w:rsid w:val="006F2D74"/>
    <w:rsid w:val="007011A8"/>
    <w:rsid w:val="007076D2"/>
    <w:rsid w:val="00722076"/>
    <w:rsid w:val="00723D54"/>
    <w:rsid w:val="00740D6A"/>
    <w:rsid w:val="007424C7"/>
    <w:rsid w:val="00743C77"/>
    <w:rsid w:val="00751CCC"/>
    <w:rsid w:val="00760A46"/>
    <w:rsid w:val="007637B3"/>
    <w:rsid w:val="00766549"/>
    <w:rsid w:val="0078490A"/>
    <w:rsid w:val="00797829"/>
    <w:rsid w:val="007A0156"/>
    <w:rsid w:val="007E2885"/>
    <w:rsid w:val="007E2DAB"/>
    <w:rsid w:val="007F1C2A"/>
    <w:rsid w:val="00800FB8"/>
    <w:rsid w:val="00803EB6"/>
    <w:rsid w:val="00807CE0"/>
    <w:rsid w:val="00812175"/>
    <w:rsid w:val="00820761"/>
    <w:rsid w:val="00823345"/>
    <w:rsid w:val="0083250F"/>
    <w:rsid w:val="008404BD"/>
    <w:rsid w:val="008439EE"/>
    <w:rsid w:val="00844BF1"/>
    <w:rsid w:val="0086479E"/>
    <w:rsid w:val="008725C7"/>
    <w:rsid w:val="00897FF2"/>
    <w:rsid w:val="008A4EDF"/>
    <w:rsid w:val="008B06EA"/>
    <w:rsid w:val="008B07E1"/>
    <w:rsid w:val="008B2B06"/>
    <w:rsid w:val="008B35C2"/>
    <w:rsid w:val="008B5256"/>
    <w:rsid w:val="008B666D"/>
    <w:rsid w:val="008C36E9"/>
    <w:rsid w:val="008C51E3"/>
    <w:rsid w:val="008C5589"/>
    <w:rsid w:val="008D39D1"/>
    <w:rsid w:val="008D51DD"/>
    <w:rsid w:val="008D5D40"/>
    <w:rsid w:val="008D5E97"/>
    <w:rsid w:val="008E6427"/>
    <w:rsid w:val="0091165D"/>
    <w:rsid w:val="00914BB5"/>
    <w:rsid w:val="00937CDA"/>
    <w:rsid w:val="009403B4"/>
    <w:rsid w:val="00947A9E"/>
    <w:rsid w:val="00956D02"/>
    <w:rsid w:val="009658EB"/>
    <w:rsid w:val="00993B38"/>
    <w:rsid w:val="00994BA2"/>
    <w:rsid w:val="0099511D"/>
    <w:rsid w:val="009B190E"/>
    <w:rsid w:val="009D048E"/>
    <w:rsid w:val="009D2F1B"/>
    <w:rsid w:val="009F13E5"/>
    <w:rsid w:val="009F28DB"/>
    <w:rsid w:val="00A22FF8"/>
    <w:rsid w:val="00A2589E"/>
    <w:rsid w:val="00A34BA1"/>
    <w:rsid w:val="00A3629E"/>
    <w:rsid w:val="00A41219"/>
    <w:rsid w:val="00A41567"/>
    <w:rsid w:val="00A52E2A"/>
    <w:rsid w:val="00A72699"/>
    <w:rsid w:val="00A72F12"/>
    <w:rsid w:val="00A87DD0"/>
    <w:rsid w:val="00A92F3B"/>
    <w:rsid w:val="00AB5B4C"/>
    <w:rsid w:val="00AC25F8"/>
    <w:rsid w:val="00AD2673"/>
    <w:rsid w:val="00AE5303"/>
    <w:rsid w:val="00B0137F"/>
    <w:rsid w:val="00B21ADF"/>
    <w:rsid w:val="00B320C5"/>
    <w:rsid w:val="00B3213C"/>
    <w:rsid w:val="00B35BF7"/>
    <w:rsid w:val="00B3680C"/>
    <w:rsid w:val="00B41D73"/>
    <w:rsid w:val="00B4532B"/>
    <w:rsid w:val="00B46F6A"/>
    <w:rsid w:val="00B62DEF"/>
    <w:rsid w:val="00B73DC8"/>
    <w:rsid w:val="00B769BB"/>
    <w:rsid w:val="00B82F07"/>
    <w:rsid w:val="00B862E1"/>
    <w:rsid w:val="00B87358"/>
    <w:rsid w:val="00BC267F"/>
    <w:rsid w:val="00BC277C"/>
    <w:rsid w:val="00BC355A"/>
    <w:rsid w:val="00BC6E26"/>
    <w:rsid w:val="00BE0116"/>
    <w:rsid w:val="00BE43A5"/>
    <w:rsid w:val="00BF574A"/>
    <w:rsid w:val="00C075EF"/>
    <w:rsid w:val="00C10F79"/>
    <w:rsid w:val="00C12E54"/>
    <w:rsid w:val="00C21D28"/>
    <w:rsid w:val="00C41401"/>
    <w:rsid w:val="00C41595"/>
    <w:rsid w:val="00C55537"/>
    <w:rsid w:val="00C56DCF"/>
    <w:rsid w:val="00C57CDC"/>
    <w:rsid w:val="00C621BA"/>
    <w:rsid w:val="00C642C0"/>
    <w:rsid w:val="00C80B61"/>
    <w:rsid w:val="00C85ED9"/>
    <w:rsid w:val="00C97335"/>
    <w:rsid w:val="00CA12C9"/>
    <w:rsid w:val="00CA3D67"/>
    <w:rsid w:val="00CA4D27"/>
    <w:rsid w:val="00CB2026"/>
    <w:rsid w:val="00CC0355"/>
    <w:rsid w:val="00CC4FB6"/>
    <w:rsid w:val="00CD4BDB"/>
    <w:rsid w:val="00CD5186"/>
    <w:rsid w:val="00CD7BDC"/>
    <w:rsid w:val="00CE3F1A"/>
    <w:rsid w:val="00CE6462"/>
    <w:rsid w:val="00CF13F1"/>
    <w:rsid w:val="00D06CC8"/>
    <w:rsid w:val="00D07194"/>
    <w:rsid w:val="00D1270A"/>
    <w:rsid w:val="00D16A43"/>
    <w:rsid w:val="00D21008"/>
    <w:rsid w:val="00D21CB6"/>
    <w:rsid w:val="00D31A0E"/>
    <w:rsid w:val="00D41CEF"/>
    <w:rsid w:val="00D627F1"/>
    <w:rsid w:val="00D634C0"/>
    <w:rsid w:val="00D64139"/>
    <w:rsid w:val="00D72095"/>
    <w:rsid w:val="00DC76DD"/>
    <w:rsid w:val="00DC7DCC"/>
    <w:rsid w:val="00DD011A"/>
    <w:rsid w:val="00DE2508"/>
    <w:rsid w:val="00DE69B1"/>
    <w:rsid w:val="00DF15AA"/>
    <w:rsid w:val="00DF3410"/>
    <w:rsid w:val="00DF6990"/>
    <w:rsid w:val="00E01F60"/>
    <w:rsid w:val="00E12792"/>
    <w:rsid w:val="00E14EB0"/>
    <w:rsid w:val="00E23AD8"/>
    <w:rsid w:val="00E35A1D"/>
    <w:rsid w:val="00E37FCC"/>
    <w:rsid w:val="00E434B1"/>
    <w:rsid w:val="00E531C0"/>
    <w:rsid w:val="00E54390"/>
    <w:rsid w:val="00E65A5B"/>
    <w:rsid w:val="00E70FC3"/>
    <w:rsid w:val="00E71C24"/>
    <w:rsid w:val="00E8457E"/>
    <w:rsid w:val="00E872F0"/>
    <w:rsid w:val="00EA5D0E"/>
    <w:rsid w:val="00EB16C0"/>
    <w:rsid w:val="00EB1A76"/>
    <w:rsid w:val="00EB5EE6"/>
    <w:rsid w:val="00EB7566"/>
    <w:rsid w:val="00EC025E"/>
    <w:rsid w:val="00EC17AB"/>
    <w:rsid w:val="00EC510B"/>
    <w:rsid w:val="00EF25AF"/>
    <w:rsid w:val="00EF43FE"/>
    <w:rsid w:val="00EF4D07"/>
    <w:rsid w:val="00EF5ED7"/>
    <w:rsid w:val="00F2595C"/>
    <w:rsid w:val="00F343C4"/>
    <w:rsid w:val="00F43395"/>
    <w:rsid w:val="00F467A8"/>
    <w:rsid w:val="00F64E13"/>
    <w:rsid w:val="00F75727"/>
    <w:rsid w:val="00FB13A4"/>
    <w:rsid w:val="00FB1E2E"/>
    <w:rsid w:val="00FC2888"/>
    <w:rsid w:val="00FC2BF3"/>
    <w:rsid w:val="00FC2F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David"/>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559"/>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5B"/>
    <w:pPr>
      <w:ind w:left="720"/>
      <w:contextualSpacing/>
    </w:pPr>
  </w:style>
  <w:style w:type="character" w:styleId="CommentReference">
    <w:name w:val="annotation reference"/>
    <w:basedOn w:val="DefaultParagraphFont"/>
    <w:uiPriority w:val="99"/>
    <w:semiHidden/>
    <w:unhideWhenUsed/>
    <w:rsid w:val="0022251E"/>
    <w:rPr>
      <w:sz w:val="16"/>
      <w:szCs w:val="16"/>
    </w:rPr>
  </w:style>
  <w:style w:type="paragraph" w:styleId="CommentText">
    <w:name w:val="annotation text"/>
    <w:basedOn w:val="Normal"/>
    <w:link w:val="CommentTextChar"/>
    <w:uiPriority w:val="99"/>
    <w:semiHidden/>
    <w:unhideWhenUsed/>
    <w:rsid w:val="0022251E"/>
    <w:pPr>
      <w:spacing w:line="240" w:lineRule="auto"/>
    </w:pPr>
    <w:rPr>
      <w:sz w:val="20"/>
      <w:szCs w:val="20"/>
    </w:rPr>
  </w:style>
  <w:style w:type="character" w:customStyle="1" w:styleId="CommentTextChar">
    <w:name w:val="Comment Text Char"/>
    <w:basedOn w:val="DefaultParagraphFont"/>
    <w:link w:val="CommentText"/>
    <w:uiPriority w:val="99"/>
    <w:semiHidden/>
    <w:rsid w:val="0022251E"/>
    <w:rPr>
      <w:sz w:val="20"/>
      <w:szCs w:val="20"/>
    </w:rPr>
  </w:style>
  <w:style w:type="paragraph" w:styleId="CommentSubject">
    <w:name w:val="annotation subject"/>
    <w:basedOn w:val="CommentText"/>
    <w:next w:val="CommentText"/>
    <w:link w:val="CommentSubjectChar"/>
    <w:uiPriority w:val="99"/>
    <w:semiHidden/>
    <w:unhideWhenUsed/>
    <w:rsid w:val="0022251E"/>
    <w:rPr>
      <w:b/>
      <w:bCs/>
    </w:rPr>
  </w:style>
  <w:style w:type="character" w:customStyle="1" w:styleId="CommentSubjectChar">
    <w:name w:val="Comment Subject Char"/>
    <w:basedOn w:val="CommentTextChar"/>
    <w:link w:val="CommentSubject"/>
    <w:uiPriority w:val="99"/>
    <w:semiHidden/>
    <w:rsid w:val="0022251E"/>
    <w:rPr>
      <w:b/>
      <w:bCs/>
      <w:sz w:val="20"/>
      <w:szCs w:val="20"/>
    </w:rPr>
  </w:style>
  <w:style w:type="paragraph" w:styleId="BalloonText">
    <w:name w:val="Balloon Text"/>
    <w:basedOn w:val="Normal"/>
    <w:link w:val="BalloonTextChar"/>
    <w:uiPriority w:val="99"/>
    <w:semiHidden/>
    <w:unhideWhenUsed/>
    <w:rsid w:val="0022251E"/>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2251E"/>
    <w:rPr>
      <w:rFonts w:ascii="Tahoma" w:hAnsi="Tahoma" w:cs="Tahoma"/>
      <w:sz w:val="18"/>
      <w:szCs w:val="18"/>
    </w:rPr>
  </w:style>
  <w:style w:type="paragraph" w:styleId="FootnoteText">
    <w:name w:val="footnote text"/>
    <w:basedOn w:val="Normal"/>
    <w:link w:val="FootnoteTextChar"/>
    <w:uiPriority w:val="99"/>
    <w:semiHidden/>
    <w:unhideWhenUsed/>
    <w:rsid w:val="007076D2"/>
    <w:pPr>
      <w:spacing w:line="240" w:lineRule="auto"/>
    </w:pPr>
    <w:rPr>
      <w:sz w:val="20"/>
      <w:szCs w:val="20"/>
    </w:rPr>
  </w:style>
  <w:style w:type="character" w:customStyle="1" w:styleId="FootnoteTextChar">
    <w:name w:val="Footnote Text Char"/>
    <w:basedOn w:val="DefaultParagraphFont"/>
    <w:link w:val="FootnoteText"/>
    <w:uiPriority w:val="99"/>
    <w:semiHidden/>
    <w:rsid w:val="007076D2"/>
    <w:rPr>
      <w:sz w:val="20"/>
      <w:szCs w:val="20"/>
    </w:rPr>
  </w:style>
  <w:style w:type="character" w:styleId="FootnoteReference">
    <w:name w:val="footnote reference"/>
    <w:basedOn w:val="DefaultParagraphFont"/>
    <w:uiPriority w:val="99"/>
    <w:semiHidden/>
    <w:unhideWhenUsed/>
    <w:rsid w:val="007076D2"/>
    <w:rPr>
      <w:vertAlign w:val="superscript"/>
    </w:rPr>
  </w:style>
  <w:style w:type="paragraph" w:styleId="Header">
    <w:name w:val="header"/>
    <w:basedOn w:val="Normal"/>
    <w:link w:val="HeaderChar"/>
    <w:uiPriority w:val="99"/>
    <w:unhideWhenUsed/>
    <w:rsid w:val="006D6296"/>
    <w:pPr>
      <w:tabs>
        <w:tab w:val="center" w:pos="4153"/>
        <w:tab w:val="right" w:pos="8306"/>
      </w:tabs>
      <w:spacing w:line="240" w:lineRule="auto"/>
    </w:pPr>
  </w:style>
  <w:style w:type="character" w:customStyle="1" w:styleId="HeaderChar">
    <w:name w:val="Header Char"/>
    <w:basedOn w:val="DefaultParagraphFont"/>
    <w:link w:val="Header"/>
    <w:uiPriority w:val="99"/>
    <w:rsid w:val="006D6296"/>
  </w:style>
  <w:style w:type="paragraph" w:styleId="Footer">
    <w:name w:val="footer"/>
    <w:basedOn w:val="Normal"/>
    <w:link w:val="FooterChar"/>
    <w:uiPriority w:val="99"/>
    <w:unhideWhenUsed/>
    <w:rsid w:val="006D6296"/>
    <w:pPr>
      <w:tabs>
        <w:tab w:val="center" w:pos="4153"/>
        <w:tab w:val="right" w:pos="8306"/>
      </w:tabs>
      <w:spacing w:line="240" w:lineRule="auto"/>
    </w:pPr>
  </w:style>
  <w:style w:type="character" w:customStyle="1" w:styleId="FooterChar">
    <w:name w:val="Footer Char"/>
    <w:basedOn w:val="DefaultParagraphFont"/>
    <w:link w:val="Footer"/>
    <w:uiPriority w:val="99"/>
    <w:rsid w:val="006D6296"/>
  </w:style>
  <w:style w:type="character" w:customStyle="1" w:styleId="Heading1Char">
    <w:name w:val="Heading 1 Char"/>
    <w:basedOn w:val="DefaultParagraphFont"/>
    <w:link w:val="Heading1"/>
    <w:uiPriority w:val="9"/>
    <w:rsid w:val="002C4559"/>
    <w:rPr>
      <w:rFonts w:eastAsia="Times New Roman" w:cs="Times New Roman"/>
      <w:b/>
      <w:bCs/>
      <w:kern w:val="36"/>
      <w:sz w:val="48"/>
      <w:szCs w:val="48"/>
    </w:rPr>
  </w:style>
  <w:style w:type="character" w:customStyle="1" w:styleId="apple-converted-space">
    <w:name w:val="apple-converted-space"/>
    <w:basedOn w:val="DefaultParagraphFont"/>
    <w:rsid w:val="002C4559"/>
  </w:style>
  <w:style w:type="character" w:styleId="Hyperlink">
    <w:name w:val="Hyperlink"/>
    <w:basedOn w:val="DefaultParagraphFont"/>
    <w:uiPriority w:val="99"/>
    <w:unhideWhenUsed/>
    <w:rsid w:val="002C45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David"/>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559"/>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5B"/>
    <w:pPr>
      <w:ind w:left="720"/>
      <w:contextualSpacing/>
    </w:pPr>
  </w:style>
  <w:style w:type="character" w:styleId="CommentReference">
    <w:name w:val="annotation reference"/>
    <w:basedOn w:val="DefaultParagraphFont"/>
    <w:uiPriority w:val="99"/>
    <w:semiHidden/>
    <w:unhideWhenUsed/>
    <w:rsid w:val="0022251E"/>
    <w:rPr>
      <w:sz w:val="16"/>
      <w:szCs w:val="16"/>
    </w:rPr>
  </w:style>
  <w:style w:type="paragraph" w:styleId="CommentText">
    <w:name w:val="annotation text"/>
    <w:basedOn w:val="Normal"/>
    <w:link w:val="CommentTextChar"/>
    <w:uiPriority w:val="99"/>
    <w:semiHidden/>
    <w:unhideWhenUsed/>
    <w:rsid w:val="0022251E"/>
    <w:pPr>
      <w:spacing w:line="240" w:lineRule="auto"/>
    </w:pPr>
    <w:rPr>
      <w:sz w:val="20"/>
      <w:szCs w:val="20"/>
    </w:rPr>
  </w:style>
  <w:style w:type="character" w:customStyle="1" w:styleId="CommentTextChar">
    <w:name w:val="Comment Text Char"/>
    <w:basedOn w:val="DefaultParagraphFont"/>
    <w:link w:val="CommentText"/>
    <w:uiPriority w:val="99"/>
    <w:semiHidden/>
    <w:rsid w:val="0022251E"/>
    <w:rPr>
      <w:sz w:val="20"/>
      <w:szCs w:val="20"/>
    </w:rPr>
  </w:style>
  <w:style w:type="paragraph" w:styleId="CommentSubject">
    <w:name w:val="annotation subject"/>
    <w:basedOn w:val="CommentText"/>
    <w:next w:val="CommentText"/>
    <w:link w:val="CommentSubjectChar"/>
    <w:uiPriority w:val="99"/>
    <w:semiHidden/>
    <w:unhideWhenUsed/>
    <w:rsid w:val="0022251E"/>
    <w:rPr>
      <w:b/>
      <w:bCs/>
    </w:rPr>
  </w:style>
  <w:style w:type="character" w:customStyle="1" w:styleId="CommentSubjectChar">
    <w:name w:val="Comment Subject Char"/>
    <w:basedOn w:val="CommentTextChar"/>
    <w:link w:val="CommentSubject"/>
    <w:uiPriority w:val="99"/>
    <w:semiHidden/>
    <w:rsid w:val="0022251E"/>
    <w:rPr>
      <w:b/>
      <w:bCs/>
      <w:sz w:val="20"/>
      <w:szCs w:val="20"/>
    </w:rPr>
  </w:style>
  <w:style w:type="paragraph" w:styleId="BalloonText">
    <w:name w:val="Balloon Text"/>
    <w:basedOn w:val="Normal"/>
    <w:link w:val="BalloonTextChar"/>
    <w:uiPriority w:val="99"/>
    <w:semiHidden/>
    <w:unhideWhenUsed/>
    <w:rsid w:val="0022251E"/>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2251E"/>
    <w:rPr>
      <w:rFonts w:ascii="Tahoma" w:hAnsi="Tahoma" w:cs="Tahoma"/>
      <w:sz w:val="18"/>
      <w:szCs w:val="18"/>
    </w:rPr>
  </w:style>
  <w:style w:type="paragraph" w:styleId="FootnoteText">
    <w:name w:val="footnote text"/>
    <w:basedOn w:val="Normal"/>
    <w:link w:val="FootnoteTextChar"/>
    <w:uiPriority w:val="99"/>
    <w:semiHidden/>
    <w:unhideWhenUsed/>
    <w:rsid w:val="007076D2"/>
    <w:pPr>
      <w:spacing w:line="240" w:lineRule="auto"/>
    </w:pPr>
    <w:rPr>
      <w:sz w:val="20"/>
      <w:szCs w:val="20"/>
    </w:rPr>
  </w:style>
  <w:style w:type="character" w:customStyle="1" w:styleId="FootnoteTextChar">
    <w:name w:val="Footnote Text Char"/>
    <w:basedOn w:val="DefaultParagraphFont"/>
    <w:link w:val="FootnoteText"/>
    <w:uiPriority w:val="99"/>
    <w:semiHidden/>
    <w:rsid w:val="007076D2"/>
    <w:rPr>
      <w:sz w:val="20"/>
      <w:szCs w:val="20"/>
    </w:rPr>
  </w:style>
  <w:style w:type="character" w:styleId="FootnoteReference">
    <w:name w:val="footnote reference"/>
    <w:basedOn w:val="DefaultParagraphFont"/>
    <w:uiPriority w:val="99"/>
    <w:semiHidden/>
    <w:unhideWhenUsed/>
    <w:rsid w:val="007076D2"/>
    <w:rPr>
      <w:vertAlign w:val="superscript"/>
    </w:rPr>
  </w:style>
  <w:style w:type="paragraph" w:styleId="Header">
    <w:name w:val="header"/>
    <w:basedOn w:val="Normal"/>
    <w:link w:val="HeaderChar"/>
    <w:uiPriority w:val="99"/>
    <w:unhideWhenUsed/>
    <w:rsid w:val="006D6296"/>
    <w:pPr>
      <w:tabs>
        <w:tab w:val="center" w:pos="4153"/>
        <w:tab w:val="right" w:pos="8306"/>
      </w:tabs>
      <w:spacing w:line="240" w:lineRule="auto"/>
    </w:pPr>
  </w:style>
  <w:style w:type="character" w:customStyle="1" w:styleId="HeaderChar">
    <w:name w:val="Header Char"/>
    <w:basedOn w:val="DefaultParagraphFont"/>
    <w:link w:val="Header"/>
    <w:uiPriority w:val="99"/>
    <w:rsid w:val="006D6296"/>
  </w:style>
  <w:style w:type="paragraph" w:styleId="Footer">
    <w:name w:val="footer"/>
    <w:basedOn w:val="Normal"/>
    <w:link w:val="FooterChar"/>
    <w:uiPriority w:val="99"/>
    <w:unhideWhenUsed/>
    <w:rsid w:val="006D6296"/>
    <w:pPr>
      <w:tabs>
        <w:tab w:val="center" w:pos="4153"/>
        <w:tab w:val="right" w:pos="8306"/>
      </w:tabs>
      <w:spacing w:line="240" w:lineRule="auto"/>
    </w:pPr>
  </w:style>
  <w:style w:type="character" w:customStyle="1" w:styleId="FooterChar">
    <w:name w:val="Footer Char"/>
    <w:basedOn w:val="DefaultParagraphFont"/>
    <w:link w:val="Footer"/>
    <w:uiPriority w:val="99"/>
    <w:rsid w:val="006D6296"/>
  </w:style>
  <w:style w:type="character" w:customStyle="1" w:styleId="Heading1Char">
    <w:name w:val="Heading 1 Char"/>
    <w:basedOn w:val="DefaultParagraphFont"/>
    <w:link w:val="Heading1"/>
    <w:uiPriority w:val="9"/>
    <w:rsid w:val="002C4559"/>
    <w:rPr>
      <w:rFonts w:eastAsia="Times New Roman" w:cs="Times New Roman"/>
      <w:b/>
      <w:bCs/>
      <w:kern w:val="36"/>
      <w:sz w:val="48"/>
      <w:szCs w:val="48"/>
    </w:rPr>
  </w:style>
  <w:style w:type="character" w:customStyle="1" w:styleId="apple-converted-space">
    <w:name w:val="apple-converted-space"/>
    <w:basedOn w:val="DefaultParagraphFont"/>
    <w:rsid w:val="002C4559"/>
  </w:style>
  <w:style w:type="character" w:styleId="Hyperlink">
    <w:name w:val="Hyperlink"/>
    <w:basedOn w:val="DefaultParagraphFont"/>
    <w:uiPriority w:val="99"/>
    <w:unhideWhenUsed/>
    <w:rsid w:val="002C4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262">
      <w:bodyDiv w:val="1"/>
      <w:marLeft w:val="0"/>
      <w:marRight w:val="0"/>
      <w:marTop w:val="0"/>
      <w:marBottom w:val="0"/>
      <w:divBdr>
        <w:top w:val="none" w:sz="0" w:space="0" w:color="auto"/>
        <w:left w:val="none" w:sz="0" w:space="0" w:color="auto"/>
        <w:bottom w:val="none" w:sz="0" w:space="0" w:color="auto"/>
        <w:right w:val="none" w:sz="0" w:space="0" w:color="auto"/>
      </w:divBdr>
    </w:div>
    <w:div w:id="1710035553">
      <w:bodyDiv w:val="1"/>
      <w:marLeft w:val="0"/>
      <w:marRight w:val="0"/>
      <w:marTop w:val="0"/>
      <w:marBottom w:val="0"/>
      <w:divBdr>
        <w:top w:val="none" w:sz="0" w:space="0" w:color="auto"/>
        <w:left w:val="none" w:sz="0" w:space="0" w:color="auto"/>
        <w:bottom w:val="none" w:sz="0" w:space="0" w:color="auto"/>
        <w:right w:val="none" w:sz="0" w:space="0" w:color="auto"/>
      </w:divBdr>
    </w:div>
    <w:div w:id="20039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tep.org/development-hastings-bass-jersey" TargetMode="External"/><Relationship Id="rId2" Type="http://schemas.openxmlformats.org/officeDocument/2006/relationships/hyperlink" Target="https://advance.lexis.com/document/midlinetitle/?pdmfid=1000516&amp;crid=d2c3bd00-698b-4e2e-b14b-9d07481ec00e&amp;pddocfullpath=%2Fshared%2Fdocument%2Fcases%2Furn%3AcontentItem%3A7Y91-K550-YB0V-9000-00000-00&amp;pdcomponentid=6443&amp;ecomp=7tmk&amp;earg=sr0&amp;prid=309caff6-f87a-4603-81af-7082f58d7ee8" TargetMode="External"/><Relationship Id="rId1" Type="http://schemas.openxmlformats.org/officeDocument/2006/relationships/hyperlink" Target="https://advance.lexis.com/document/midlinetitle/?pdmfid=1000516&amp;crid=d2c3bd00-698b-4e2e-b14b-9d07481ec00e&amp;pddocfullpath=%2Fshared%2Fdocument%2Fcases%2Furn%3AcontentItem%3A7Y91-K550-YB0V-9000-00000-00&amp;pdcomponentid=6443&amp;ecomp=7tmk&amp;earg=sr0&amp;prid=309caff6-f87a-4603-81af-7082f58d7ee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22819E-B75A-40DC-B9D9-6F939F78881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1D37-7EC4-4FBA-A792-0989545D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5430</TotalTime>
  <Pages>13</Pages>
  <Words>4351</Words>
  <Characters>22148</Characters>
  <Application>Microsoft Office Word</Application>
  <DocSecurity>0</DocSecurity>
  <Lines>299</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 Weiss</dc:creator>
  <cp:lastModifiedBy>hofri</cp:lastModifiedBy>
  <cp:revision>61</cp:revision>
  <dcterms:created xsi:type="dcterms:W3CDTF">2015-11-28T17:58:00Z</dcterms:created>
  <dcterms:modified xsi:type="dcterms:W3CDTF">2015-12-06T10:32:00Z</dcterms:modified>
</cp:coreProperties>
</file>